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center"/>
        <w:rPr>
          <w:rFonts w:eastAsia="方正小标宋简体"/>
          <w:bCs/>
          <w:color w:val="000000"/>
          <w:kern w:val="0"/>
          <w:sz w:val="44"/>
          <w:szCs w:val="44"/>
        </w:rPr>
      </w:pPr>
      <w:bookmarkStart w:id="0" w:name="正文"/>
    </w:p>
    <w:p>
      <w:pPr>
        <w:snapToGrid w:val="0"/>
        <w:spacing w:line="540" w:lineRule="exact"/>
        <w:jc w:val="center"/>
        <w:rPr>
          <w:rFonts w:eastAsia="方正小标宋简体"/>
          <w:bCs/>
          <w:color w:val="000000"/>
          <w:kern w:val="0"/>
          <w:sz w:val="44"/>
          <w:szCs w:val="44"/>
        </w:rPr>
      </w:pPr>
      <w:r>
        <w:rPr>
          <w:rFonts w:eastAsia="方正小标宋简体"/>
          <w:bCs/>
          <w:color w:val="000000"/>
          <w:kern w:val="0"/>
          <w:sz w:val="44"/>
          <w:szCs w:val="44"/>
        </w:rPr>
        <w:t>国内外高端知识产权服务机构</w:t>
      </w:r>
    </w:p>
    <w:p>
      <w:pPr>
        <w:snapToGrid w:val="0"/>
        <w:spacing w:line="540" w:lineRule="exact"/>
        <w:jc w:val="center"/>
        <w:rPr>
          <w:rFonts w:hint="eastAsia" w:eastAsia="方正小标宋简体"/>
          <w:bCs/>
          <w:color w:val="000000"/>
          <w:kern w:val="0"/>
          <w:sz w:val="44"/>
          <w:szCs w:val="44"/>
        </w:rPr>
      </w:pPr>
      <w:r>
        <w:rPr>
          <w:rFonts w:eastAsia="方正小标宋简体"/>
          <w:bCs/>
          <w:color w:val="000000"/>
          <w:kern w:val="0"/>
          <w:sz w:val="44"/>
          <w:szCs w:val="44"/>
        </w:rPr>
        <w:t>落户成都资助</w:t>
      </w:r>
      <w:r>
        <w:rPr>
          <w:rFonts w:hint="eastAsia" w:eastAsia="方正小标宋简体"/>
          <w:bCs/>
          <w:color w:val="000000"/>
          <w:kern w:val="0"/>
          <w:sz w:val="44"/>
          <w:szCs w:val="44"/>
        </w:rPr>
        <w:t>项目</w:t>
      </w:r>
      <w:r>
        <w:rPr>
          <w:rFonts w:eastAsia="方正小标宋简体"/>
          <w:bCs/>
          <w:color w:val="000000"/>
          <w:kern w:val="0"/>
          <w:sz w:val="44"/>
          <w:szCs w:val="44"/>
        </w:rPr>
        <w:t>申报</w:t>
      </w:r>
      <w:r>
        <w:rPr>
          <w:rFonts w:hint="eastAsia" w:eastAsia="方正小标宋简体"/>
          <w:bCs/>
          <w:color w:val="000000"/>
          <w:kern w:val="0"/>
          <w:sz w:val="44"/>
          <w:szCs w:val="44"/>
        </w:rPr>
        <w:t>细则</w:t>
      </w:r>
    </w:p>
    <w:p>
      <w:pPr>
        <w:pStyle w:val="2"/>
        <w:jc w:val="center"/>
        <w:rPr>
          <w:rFonts w:hint="eastAsia" w:ascii="方正楷体_GBK" w:hAnsi="方正楷体_GBK" w:eastAsia="方正楷体_GBK" w:cs="方正楷体_GBK"/>
          <w:color w:val="000000"/>
          <w:sz w:val="32"/>
          <w:szCs w:val="32"/>
          <w:shd w:val="clear" w:color="auto" w:fill="FFFFFF"/>
          <w:lang w:eastAsia="zh-CN"/>
        </w:rPr>
      </w:pPr>
      <w:r>
        <w:rPr>
          <w:rFonts w:hint="eastAsia" w:ascii="方正楷体_GBK" w:hAnsi="方正楷体_GBK" w:eastAsia="方正楷体_GBK" w:cs="方正楷体_GBK"/>
          <w:color w:val="000000"/>
          <w:sz w:val="32"/>
          <w:szCs w:val="32"/>
          <w:shd w:val="clear" w:color="auto" w:fill="FFFFFF"/>
          <w:lang w:eastAsia="zh-CN"/>
        </w:rPr>
        <w:t>（</w:t>
      </w:r>
      <w:r>
        <w:rPr>
          <w:rFonts w:hint="eastAsia" w:ascii="方正楷体_GBK" w:hAnsi="方正楷体_GBK" w:eastAsia="方正楷体_GBK" w:cs="方正楷体_GBK"/>
          <w:color w:val="000000"/>
          <w:sz w:val="32"/>
          <w:szCs w:val="32"/>
          <w:shd w:val="clear" w:color="auto" w:fill="FFFFFF"/>
          <w:lang w:val="en-US" w:eastAsia="zh-CN"/>
        </w:rPr>
        <w:t>征求意见稿</w:t>
      </w:r>
      <w:r>
        <w:rPr>
          <w:rFonts w:hint="eastAsia" w:ascii="方正楷体_GBK" w:hAnsi="方正楷体_GBK" w:eastAsia="方正楷体_GBK" w:cs="方正楷体_GBK"/>
          <w:color w:val="000000"/>
          <w:sz w:val="32"/>
          <w:szCs w:val="32"/>
          <w:shd w:val="clear" w:color="auto" w:fill="FFFFFF"/>
          <w:lang w:eastAsia="zh-CN"/>
        </w:rPr>
        <w:t>）</w:t>
      </w:r>
    </w:p>
    <w:p>
      <w:pPr>
        <w:pStyle w:val="2"/>
        <w:jc w:val="center"/>
        <w:rPr>
          <w:rFonts w:hint="eastAsia" w:ascii="方正楷体_GBK" w:hAnsi="方正楷体_GBK" w:eastAsia="方正楷体_GBK" w:cs="方正楷体_GBK"/>
          <w:color w:val="000000"/>
          <w:sz w:val="32"/>
          <w:szCs w:val="32"/>
          <w:shd w:val="clear" w:color="auto" w:fill="FFFFFF"/>
          <w:lang w:eastAsia="zh-CN"/>
        </w:rPr>
      </w:pPr>
      <w:bookmarkStart w:id="1" w:name="_GoBack"/>
      <w:bookmarkEnd w:id="1"/>
    </w:p>
    <w:p>
      <w:pPr>
        <w:pStyle w:val="2"/>
        <w:adjustRightInd w:val="0"/>
        <w:snapToGrid w:val="0"/>
        <w:spacing w:after="0" w:line="560" w:lineRule="exact"/>
        <w:ind w:firstLine="640" w:firstLineChars="200"/>
        <w:rPr>
          <w:rFonts w:eastAsia="方正仿宋_GBK"/>
          <w:szCs w:val="32"/>
        </w:rPr>
      </w:pPr>
      <w:r>
        <w:rPr>
          <w:rFonts w:hint="eastAsia" w:eastAsia="方正仿宋_GBK"/>
          <w:szCs w:val="32"/>
          <w:lang w:eastAsia="zh-CN"/>
        </w:rPr>
        <w:t>为</w:t>
      </w:r>
      <w:r>
        <w:rPr>
          <w:rFonts w:hint="default" w:eastAsia="方正仿宋_GBK"/>
          <w:szCs w:val="32"/>
          <w:lang w:eastAsia="zh-CN"/>
        </w:rPr>
        <w:t>更加有力支撑和推动高质量发展</w:t>
      </w:r>
      <w:r>
        <w:rPr>
          <w:rFonts w:hint="eastAsia" w:eastAsia="方正仿宋_GBK"/>
          <w:szCs w:val="32"/>
          <w:lang w:eastAsia="zh-CN"/>
        </w:rPr>
        <w:t>，强化</w:t>
      </w:r>
      <w:r>
        <w:rPr>
          <w:rFonts w:hint="default" w:eastAsia="方正仿宋_GBK"/>
          <w:szCs w:val="32"/>
          <w:lang w:eastAsia="zh-CN"/>
        </w:rPr>
        <w:t>着力提升知识产权公共服务与市场化服务并举并重</w:t>
      </w:r>
      <w:r>
        <w:rPr>
          <w:rFonts w:hint="eastAsia" w:eastAsia="方正仿宋_GBK"/>
          <w:szCs w:val="32"/>
          <w:lang w:eastAsia="zh-CN"/>
        </w:rPr>
        <w:t>，</w:t>
      </w:r>
      <w:r>
        <w:rPr>
          <w:rFonts w:hint="default" w:eastAsia="方正仿宋_GBK"/>
          <w:szCs w:val="32"/>
          <w:lang w:eastAsia="zh-CN"/>
        </w:rPr>
        <w:t>引进、培育高端知识产权服务机构和专业人才，</w:t>
      </w:r>
      <w:r>
        <w:rPr>
          <w:rFonts w:hint="eastAsia" w:eastAsia="方正仿宋_GBK"/>
          <w:szCs w:val="32"/>
          <w:lang w:eastAsia="zh-CN"/>
        </w:rPr>
        <w:t>发挥</w:t>
      </w:r>
      <w:r>
        <w:rPr>
          <w:rFonts w:hint="default" w:eastAsia="方正仿宋_GBK"/>
          <w:szCs w:val="32"/>
          <w:lang w:eastAsia="zh-CN"/>
        </w:rPr>
        <w:t>高水平市场化服务的引领带动作用</w:t>
      </w:r>
      <w:r>
        <w:rPr>
          <w:rFonts w:hint="eastAsia" w:eastAsia="方正仿宋_GBK"/>
          <w:szCs w:val="32"/>
          <w:lang w:eastAsia="zh-CN"/>
        </w:rPr>
        <w:t>，</w:t>
      </w:r>
      <w:r>
        <w:rPr>
          <w:rFonts w:hint="default" w:eastAsia="方正仿宋_GBK"/>
          <w:szCs w:val="32"/>
          <w:lang w:eastAsia="zh-CN"/>
        </w:rPr>
        <w:t>集聚高端优质市场化服务资源，</w:t>
      </w:r>
      <w:r>
        <w:rPr>
          <w:rFonts w:hint="eastAsia" w:eastAsia="方正仿宋_GBK"/>
          <w:szCs w:val="32"/>
          <w:lang w:eastAsia="zh-CN"/>
        </w:rPr>
        <w:t>进一步</w:t>
      </w:r>
      <w:r>
        <w:rPr>
          <w:rFonts w:hint="default" w:eastAsia="方正仿宋_GBK"/>
          <w:szCs w:val="32"/>
          <w:lang w:eastAsia="zh-CN"/>
        </w:rPr>
        <w:t>赋能创新发展，保护创新成果，优化营商环境，</w:t>
      </w:r>
      <w:r>
        <w:rPr>
          <w:rFonts w:hint="eastAsia" w:eastAsia="方正仿宋_GBK"/>
          <w:szCs w:val="32"/>
          <w:lang w:eastAsia="zh-CN"/>
        </w:rPr>
        <w:t>根据《成都市知识产权发展和保护专项资金管理办法》（成财制〔2020〕34号）、《关于促进知识产权创新发展的政策措施》（成市监发〔2020〕60号）和《成都市知识产权资助项目管理办法》（成市监规〔2022〕2号 ），制定本细则</w:t>
      </w:r>
      <w:r>
        <w:rPr>
          <w:rFonts w:hint="eastAsia" w:eastAsia="方正仿宋_GBK"/>
          <w:szCs w:val="32"/>
        </w:rPr>
        <w:t>。</w:t>
      </w:r>
    </w:p>
    <w:p>
      <w:pPr>
        <w:snapToGrid w:val="0"/>
        <w:spacing w:line="540" w:lineRule="exact"/>
        <w:ind w:left="640"/>
        <w:rPr>
          <w:rFonts w:hint="eastAsia" w:eastAsia="方正黑体_GBK"/>
          <w:szCs w:val="32"/>
          <w:lang w:eastAsia="zh-CN"/>
        </w:rPr>
      </w:pPr>
      <w:r>
        <w:rPr>
          <w:rFonts w:eastAsia="方正黑体_GBK"/>
          <w:szCs w:val="32"/>
        </w:rPr>
        <w:t>一、</w:t>
      </w:r>
      <w:r>
        <w:rPr>
          <w:rFonts w:hint="eastAsia" w:eastAsia="方正黑体_GBK"/>
          <w:szCs w:val="32"/>
          <w:lang w:eastAsia="zh-CN"/>
        </w:rPr>
        <w:t>申报主体</w:t>
      </w:r>
    </w:p>
    <w:p>
      <w:pPr>
        <w:snapToGrid w:val="0"/>
        <w:spacing w:line="540" w:lineRule="exact"/>
        <w:ind w:firstLine="636" w:firstLineChars="199"/>
        <w:rPr>
          <w:rFonts w:eastAsia="方正仿宋_GBK"/>
          <w:szCs w:val="32"/>
        </w:rPr>
      </w:pPr>
      <w:r>
        <w:rPr>
          <w:rFonts w:eastAsia="方正仿宋_GBK"/>
          <w:szCs w:val="32"/>
        </w:rPr>
        <w:t>国内外高端知识产权服务机构</w:t>
      </w:r>
      <w:r>
        <w:rPr>
          <w:rFonts w:hint="eastAsia" w:eastAsia="方正仿宋_GBK"/>
          <w:szCs w:val="32"/>
        </w:rPr>
        <w:t>（</w:t>
      </w:r>
      <w:r>
        <w:rPr>
          <w:rFonts w:eastAsia="方正仿宋_GBK"/>
          <w:szCs w:val="32"/>
        </w:rPr>
        <w:t>以下简称</w:t>
      </w:r>
      <w:r>
        <w:rPr>
          <w:rFonts w:hint="eastAsia" w:eastAsia="方正仿宋_GBK"/>
          <w:szCs w:val="32"/>
        </w:rPr>
        <w:t>“国内外</w:t>
      </w:r>
      <w:r>
        <w:rPr>
          <w:rFonts w:eastAsia="方正仿宋_GBK"/>
          <w:szCs w:val="32"/>
        </w:rPr>
        <w:t>机构</w:t>
      </w:r>
      <w:r>
        <w:rPr>
          <w:rFonts w:hint="eastAsia" w:eastAsia="方正仿宋_GBK"/>
          <w:szCs w:val="32"/>
        </w:rPr>
        <w:t>”）</w:t>
      </w:r>
      <w:r>
        <w:rPr>
          <w:rFonts w:eastAsia="方正仿宋_GBK"/>
          <w:szCs w:val="32"/>
        </w:rPr>
        <w:t>在我市设立的具有独立法人资格的知识产权服务机构</w:t>
      </w:r>
      <w:r>
        <w:rPr>
          <w:rFonts w:hint="eastAsia" w:eastAsia="方正仿宋_GBK"/>
          <w:szCs w:val="32"/>
        </w:rPr>
        <w:t>（</w:t>
      </w:r>
      <w:r>
        <w:rPr>
          <w:rFonts w:eastAsia="方正仿宋_GBK"/>
          <w:szCs w:val="32"/>
        </w:rPr>
        <w:t>以下简称</w:t>
      </w:r>
      <w:r>
        <w:rPr>
          <w:rFonts w:hint="eastAsia" w:eastAsia="方正仿宋_GBK"/>
          <w:szCs w:val="32"/>
        </w:rPr>
        <w:t>“</w:t>
      </w:r>
      <w:r>
        <w:rPr>
          <w:rFonts w:eastAsia="方正仿宋_GBK"/>
          <w:szCs w:val="32"/>
        </w:rPr>
        <w:t>成都机构</w:t>
      </w:r>
      <w:r>
        <w:rPr>
          <w:rFonts w:hint="eastAsia" w:eastAsia="方正仿宋_GBK"/>
          <w:szCs w:val="32"/>
        </w:rPr>
        <w:t>”）</w:t>
      </w:r>
      <w:r>
        <w:rPr>
          <w:rFonts w:eastAsia="方正仿宋_GBK"/>
          <w:szCs w:val="32"/>
        </w:rPr>
        <w:t>。同一国内外机构设立2家以上成都机构的，按申报先后顺序，仅资助其中最先申报的1家。</w:t>
      </w:r>
    </w:p>
    <w:p>
      <w:pPr>
        <w:snapToGrid w:val="0"/>
        <w:spacing w:line="540" w:lineRule="exact"/>
        <w:ind w:firstLine="640" w:firstLineChars="200"/>
        <w:rPr>
          <w:rFonts w:eastAsia="方正黑体_GBK"/>
          <w:szCs w:val="32"/>
        </w:rPr>
      </w:pPr>
      <w:r>
        <w:rPr>
          <w:rFonts w:eastAsia="方正黑体_GBK"/>
          <w:szCs w:val="32"/>
        </w:rPr>
        <w:t>二、申报条件</w:t>
      </w:r>
    </w:p>
    <w:p>
      <w:pPr>
        <w:snapToGrid w:val="0"/>
        <w:spacing w:line="540" w:lineRule="exact"/>
        <w:ind w:firstLine="636" w:firstLineChars="199"/>
        <w:rPr>
          <w:rFonts w:eastAsia="方正仿宋_GBK"/>
          <w:szCs w:val="32"/>
        </w:rPr>
      </w:pPr>
      <w:r>
        <w:rPr>
          <w:rFonts w:hint="eastAsia" w:eastAsia="方正仿宋_GBK"/>
          <w:szCs w:val="32"/>
        </w:rPr>
        <w:t>（一）国外高端知识产权服务机构（</w:t>
      </w:r>
      <w:r>
        <w:rPr>
          <w:rFonts w:eastAsia="方正仿宋_GBK"/>
          <w:szCs w:val="32"/>
        </w:rPr>
        <w:t>以下简称</w:t>
      </w:r>
      <w:r>
        <w:rPr>
          <w:rFonts w:hint="eastAsia" w:eastAsia="方正仿宋_GBK"/>
          <w:szCs w:val="32"/>
        </w:rPr>
        <w:t>“国外</w:t>
      </w:r>
      <w:r>
        <w:rPr>
          <w:rFonts w:eastAsia="方正仿宋_GBK"/>
          <w:szCs w:val="32"/>
        </w:rPr>
        <w:t>机构</w:t>
      </w:r>
      <w:r>
        <w:rPr>
          <w:rFonts w:hint="eastAsia" w:eastAsia="方正仿宋_GBK"/>
          <w:szCs w:val="32"/>
        </w:rPr>
        <w:t>”）在我市设立成都机构，申报资助应同时满足以下条件：</w:t>
      </w:r>
    </w:p>
    <w:p>
      <w:pPr>
        <w:snapToGrid w:val="0"/>
        <w:spacing w:line="540" w:lineRule="exact"/>
        <w:ind w:firstLine="636" w:firstLineChars="199"/>
        <w:rPr>
          <w:rFonts w:eastAsia="方正仿宋_GBK"/>
          <w:szCs w:val="32"/>
        </w:rPr>
      </w:pPr>
      <w:r>
        <w:rPr>
          <w:rFonts w:eastAsia="方正仿宋_GBK"/>
          <w:szCs w:val="32"/>
        </w:rPr>
        <w:t>1</w:t>
      </w:r>
      <w:r>
        <w:rPr>
          <w:rFonts w:hint="eastAsia" w:eastAsia="方正仿宋_GBK"/>
          <w:szCs w:val="32"/>
        </w:rPr>
        <w:t>.</w:t>
      </w:r>
      <w:r>
        <w:rPr>
          <w:rFonts w:eastAsia="方正仿宋_GBK"/>
          <w:szCs w:val="32"/>
        </w:rPr>
        <w:t>国外机构属于在国外依法登记注册的知识产权服务机构，且机构成立5年以上（含5年）；</w:t>
      </w:r>
    </w:p>
    <w:p>
      <w:pPr>
        <w:snapToGrid w:val="0"/>
        <w:spacing w:line="540" w:lineRule="exact"/>
        <w:ind w:firstLine="636" w:firstLineChars="199"/>
        <w:rPr>
          <w:rFonts w:eastAsia="方正仿宋_GBK"/>
          <w:szCs w:val="32"/>
        </w:rPr>
      </w:pPr>
      <w:r>
        <w:rPr>
          <w:rFonts w:eastAsia="方正仿宋_GBK"/>
          <w:szCs w:val="32"/>
        </w:rPr>
        <w:t>2</w:t>
      </w:r>
      <w:r>
        <w:rPr>
          <w:rFonts w:hint="eastAsia" w:eastAsia="方正仿宋_GBK"/>
          <w:szCs w:val="32"/>
        </w:rPr>
        <w:t>.</w:t>
      </w:r>
      <w:r>
        <w:rPr>
          <w:rFonts w:eastAsia="方正仿宋_GBK"/>
          <w:szCs w:val="32"/>
        </w:rPr>
        <w:t>国外机构拥有50名以上（含50名）知识产权专业人员；</w:t>
      </w:r>
    </w:p>
    <w:p>
      <w:pPr>
        <w:snapToGrid w:val="0"/>
        <w:spacing w:line="540" w:lineRule="exact"/>
        <w:ind w:firstLine="636" w:firstLineChars="199"/>
        <w:rPr>
          <w:rFonts w:eastAsia="方正仿宋_GBK"/>
          <w:szCs w:val="32"/>
        </w:rPr>
      </w:pPr>
      <w:r>
        <w:rPr>
          <w:rFonts w:eastAsia="方正仿宋_GBK"/>
          <w:szCs w:val="32"/>
        </w:rPr>
        <w:t>3</w:t>
      </w:r>
      <w:r>
        <w:rPr>
          <w:rFonts w:hint="eastAsia" w:eastAsia="方正仿宋_GBK"/>
          <w:szCs w:val="32"/>
        </w:rPr>
        <w:t>.</w:t>
      </w:r>
      <w:r>
        <w:rPr>
          <w:rFonts w:eastAsia="方正仿宋_GBK"/>
          <w:szCs w:val="32"/>
        </w:rPr>
        <w:t>国外机构上年度具有知识产权运营、专利无效、专利复审等业务成功案例10项以上（含10项）；或上年度代理知识产权诉讼案件结案数量达20件以上（含20件）；或已为至少3家（含3家）世界500强（或国内100强）企业提供知识产权业务服务；</w:t>
      </w:r>
    </w:p>
    <w:p>
      <w:pPr>
        <w:snapToGrid w:val="0"/>
        <w:spacing w:line="540" w:lineRule="exact"/>
        <w:ind w:firstLine="636" w:firstLineChars="199"/>
        <w:rPr>
          <w:rFonts w:eastAsia="方正仿宋_GBK"/>
          <w:szCs w:val="32"/>
        </w:rPr>
      </w:pPr>
      <w:r>
        <w:rPr>
          <w:rFonts w:eastAsia="方正仿宋_GBK"/>
          <w:szCs w:val="32"/>
        </w:rPr>
        <w:t>4</w:t>
      </w:r>
      <w:r>
        <w:rPr>
          <w:rFonts w:hint="eastAsia" w:eastAsia="方正仿宋_GBK"/>
          <w:szCs w:val="32"/>
        </w:rPr>
        <w:t>.</w:t>
      </w:r>
      <w:r>
        <w:rPr>
          <w:rFonts w:eastAsia="方正仿宋_GBK"/>
          <w:szCs w:val="32"/>
        </w:rPr>
        <w:t>成都机构设立时间超过6个月（含6个月）；</w:t>
      </w:r>
    </w:p>
    <w:p>
      <w:pPr>
        <w:snapToGrid w:val="0"/>
        <w:spacing w:line="540" w:lineRule="exact"/>
        <w:ind w:firstLine="636" w:firstLineChars="199"/>
        <w:rPr>
          <w:rFonts w:eastAsia="方正仿宋_GBK"/>
          <w:szCs w:val="32"/>
        </w:rPr>
      </w:pPr>
      <w:r>
        <w:rPr>
          <w:rFonts w:eastAsia="方正仿宋_GBK"/>
          <w:szCs w:val="32"/>
        </w:rPr>
        <w:t>5</w:t>
      </w:r>
      <w:r>
        <w:rPr>
          <w:rFonts w:hint="eastAsia" w:eastAsia="方正仿宋_GBK"/>
          <w:szCs w:val="32"/>
        </w:rPr>
        <w:t>.</w:t>
      </w:r>
      <w:r>
        <w:rPr>
          <w:rFonts w:eastAsia="方正仿宋_GBK"/>
          <w:szCs w:val="32"/>
        </w:rPr>
        <w:t>成都机构拥有知识产权专业人员不少于10名（含10名）；</w:t>
      </w:r>
    </w:p>
    <w:p>
      <w:pPr>
        <w:snapToGrid w:val="0"/>
        <w:spacing w:line="540" w:lineRule="exact"/>
        <w:ind w:firstLine="636" w:firstLineChars="199"/>
        <w:rPr>
          <w:rFonts w:eastAsia="方正仿宋_GBK"/>
          <w:szCs w:val="32"/>
        </w:rPr>
      </w:pPr>
      <w:r>
        <w:rPr>
          <w:rFonts w:eastAsia="方正仿宋_GBK"/>
          <w:szCs w:val="32"/>
        </w:rPr>
        <w:t>6</w:t>
      </w:r>
      <w:r>
        <w:rPr>
          <w:rFonts w:hint="eastAsia" w:eastAsia="方正仿宋_GBK"/>
          <w:szCs w:val="32"/>
        </w:rPr>
        <w:t>.</w:t>
      </w:r>
      <w:r>
        <w:rPr>
          <w:rFonts w:eastAsia="方正仿宋_GBK"/>
          <w:szCs w:val="32"/>
        </w:rPr>
        <w:t>成都机构上年度纳税额超过200万元（含200万）；</w:t>
      </w:r>
    </w:p>
    <w:p>
      <w:pPr>
        <w:snapToGrid w:val="0"/>
        <w:spacing w:line="540" w:lineRule="exact"/>
        <w:ind w:firstLine="636" w:firstLineChars="199"/>
        <w:rPr>
          <w:rFonts w:eastAsia="方正仿宋_GBK"/>
          <w:szCs w:val="32"/>
        </w:rPr>
      </w:pPr>
      <w:r>
        <w:rPr>
          <w:rFonts w:eastAsia="方正仿宋_GBK"/>
          <w:szCs w:val="32"/>
        </w:rPr>
        <w:t>7</w:t>
      </w:r>
      <w:r>
        <w:rPr>
          <w:rFonts w:hint="eastAsia" w:eastAsia="方正仿宋_GBK"/>
          <w:szCs w:val="32"/>
        </w:rPr>
        <w:t>.</w:t>
      </w:r>
      <w:r>
        <w:rPr>
          <w:rFonts w:eastAsia="方正仿宋_GBK"/>
          <w:szCs w:val="32"/>
        </w:rPr>
        <w:t>成都机构作为申报机构，当前经营状态正常，近3年未被列入失信联合惩戒对象管理名单。</w:t>
      </w:r>
    </w:p>
    <w:p>
      <w:pPr>
        <w:snapToGrid w:val="0"/>
        <w:spacing w:line="540" w:lineRule="exact"/>
        <w:ind w:firstLine="636" w:firstLineChars="199"/>
        <w:rPr>
          <w:rFonts w:eastAsia="方正仿宋_GBK"/>
          <w:szCs w:val="32"/>
        </w:rPr>
      </w:pPr>
      <w:r>
        <w:rPr>
          <w:rFonts w:hint="eastAsia" w:eastAsia="方正仿宋_GBK"/>
          <w:szCs w:val="32"/>
        </w:rPr>
        <w:t>（二）国内高端知识产权服务机构（</w:t>
      </w:r>
      <w:r>
        <w:rPr>
          <w:rFonts w:eastAsia="方正仿宋_GBK"/>
          <w:szCs w:val="32"/>
        </w:rPr>
        <w:t>以下简称</w:t>
      </w:r>
      <w:r>
        <w:rPr>
          <w:rFonts w:hint="eastAsia" w:eastAsia="方正仿宋_GBK"/>
          <w:szCs w:val="32"/>
        </w:rPr>
        <w:t>“国内</w:t>
      </w:r>
      <w:r>
        <w:rPr>
          <w:rFonts w:eastAsia="方正仿宋_GBK"/>
          <w:szCs w:val="32"/>
        </w:rPr>
        <w:t>机构</w:t>
      </w:r>
      <w:r>
        <w:rPr>
          <w:rFonts w:hint="eastAsia" w:eastAsia="方正仿宋_GBK"/>
          <w:szCs w:val="32"/>
        </w:rPr>
        <w:t>”）在我市设立成都机构，申报资助应同时满足以下条件：</w:t>
      </w:r>
    </w:p>
    <w:p>
      <w:pPr>
        <w:snapToGrid w:val="0"/>
        <w:spacing w:line="540" w:lineRule="exact"/>
        <w:ind w:firstLine="636" w:firstLineChars="199"/>
        <w:rPr>
          <w:rFonts w:eastAsia="方正仿宋_GBK"/>
          <w:szCs w:val="32"/>
        </w:rPr>
      </w:pPr>
      <w:r>
        <w:rPr>
          <w:rFonts w:eastAsia="方正仿宋_GBK"/>
          <w:szCs w:val="32"/>
        </w:rPr>
        <w:t>1</w:t>
      </w:r>
      <w:r>
        <w:rPr>
          <w:rFonts w:hint="eastAsia" w:eastAsia="方正仿宋_GBK"/>
          <w:szCs w:val="32"/>
        </w:rPr>
        <w:t>.</w:t>
      </w:r>
      <w:r>
        <w:rPr>
          <w:rFonts w:eastAsia="方正仿宋_GBK"/>
          <w:szCs w:val="32"/>
        </w:rPr>
        <w:t>国内机构属于在成都市行政区域外依法登记注册的国内知识产权服务机构，注册时间5年以上（含5年）；</w:t>
      </w:r>
    </w:p>
    <w:p>
      <w:pPr>
        <w:snapToGrid w:val="0"/>
        <w:spacing w:line="540" w:lineRule="exact"/>
        <w:ind w:firstLine="636" w:firstLineChars="199"/>
        <w:rPr>
          <w:rFonts w:eastAsia="方正仿宋_GBK"/>
          <w:szCs w:val="32"/>
        </w:rPr>
      </w:pPr>
      <w:r>
        <w:rPr>
          <w:rFonts w:eastAsia="方正仿宋_GBK"/>
          <w:szCs w:val="32"/>
        </w:rPr>
        <w:t>2</w:t>
      </w:r>
      <w:r>
        <w:rPr>
          <w:rFonts w:hint="eastAsia" w:eastAsia="方正仿宋_GBK"/>
          <w:szCs w:val="32"/>
        </w:rPr>
        <w:t>.</w:t>
      </w:r>
      <w:r>
        <w:rPr>
          <w:rFonts w:eastAsia="方正仿宋_GBK"/>
          <w:szCs w:val="32"/>
        </w:rPr>
        <w:t>国内机构拥有30名以上（含30名）执业专利代理师；</w:t>
      </w:r>
    </w:p>
    <w:p>
      <w:pPr>
        <w:snapToGrid w:val="0"/>
        <w:spacing w:line="540" w:lineRule="exact"/>
        <w:ind w:firstLine="636" w:firstLineChars="199"/>
        <w:rPr>
          <w:rFonts w:eastAsia="方正仿宋_GBK"/>
          <w:szCs w:val="32"/>
        </w:rPr>
      </w:pPr>
      <w:r>
        <w:rPr>
          <w:rFonts w:eastAsia="方正仿宋_GBK"/>
          <w:szCs w:val="32"/>
        </w:rPr>
        <w:t>3</w:t>
      </w:r>
      <w:r>
        <w:rPr>
          <w:rFonts w:hint="eastAsia" w:eastAsia="方正仿宋_GBK"/>
          <w:szCs w:val="32"/>
        </w:rPr>
        <w:t>.</w:t>
      </w:r>
      <w:r>
        <w:rPr>
          <w:rFonts w:eastAsia="方正仿宋_GBK"/>
          <w:szCs w:val="32"/>
        </w:rPr>
        <w:t>国内机构上年度具有知识产权运营、专利无效、专利复审等业务成功案例10项以上（含10项）；或上年度代理知识产权诉讼案件结案数量达20件以上（含20件）；或已为至少3家（含3家）世界500强（或国内100强）企业提供知识产权业务服务；</w:t>
      </w:r>
    </w:p>
    <w:p>
      <w:pPr>
        <w:snapToGrid w:val="0"/>
        <w:spacing w:line="540" w:lineRule="exact"/>
        <w:ind w:firstLine="636" w:firstLineChars="199"/>
        <w:rPr>
          <w:rFonts w:eastAsia="方正仿宋_GBK"/>
          <w:szCs w:val="32"/>
        </w:rPr>
      </w:pPr>
      <w:r>
        <w:rPr>
          <w:rFonts w:eastAsia="方正仿宋_GBK"/>
          <w:szCs w:val="32"/>
        </w:rPr>
        <w:t>4</w:t>
      </w:r>
      <w:r>
        <w:rPr>
          <w:rFonts w:hint="eastAsia" w:eastAsia="方正仿宋_GBK"/>
          <w:szCs w:val="32"/>
        </w:rPr>
        <w:t>.</w:t>
      </w:r>
      <w:r>
        <w:rPr>
          <w:rFonts w:eastAsia="方正仿宋_GBK"/>
          <w:szCs w:val="32"/>
        </w:rPr>
        <w:t xml:space="preserve">成都机构设立时间超过6个月（含6个月）； </w:t>
      </w:r>
    </w:p>
    <w:p>
      <w:pPr>
        <w:snapToGrid w:val="0"/>
        <w:spacing w:line="540" w:lineRule="exact"/>
        <w:ind w:firstLine="636" w:firstLineChars="199"/>
        <w:rPr>
          <w:rFonts w:eastAsia="方正仿宋_GBK"/>
          <w:szCs w:val="32"/>
        </w:rPr>
      </w:pPr>
      <w:r>
        <w:rPr>
          <w:rFonts w:eastAsia="方正仿宋_GBK"/>
          <w:szCs w:val="32"/>
        </w:rPr>
        <w:t>5</w:t>
      </w:r>
      <w:r>
        <w:rPr>
          <w:rFonts w:hint="eastAsia" w:eastAsia="方正仿宋_GBK"/>
          <w:szCs w:val="32"/>
        </w:rPr>
        <w:t>.</w:t>
      </w:r>
      <w:r>
        <w:rPr>
          <w:rFonts w:eastAsia="方正仿宋_GBK"/>
          <w:szCs w:val="32"/>
        </w:rPr>
        <w:t>成都机构拥有执业专利代理师不少于10名（含10名）；</w:t>
      </w:r>
    </w:p>
    <w:p>
      <w:pPr>
        <w:snapToGrid w:val="0"/>
        <w:spacing w:line="540" w:lineRule="exact"/>
        <w:ind w:firstLine="636" w:firstLineChars="199"/>
        <w:rPr>
          <w:rFonts w:eastAsia="方正仿宋_GBK"/>
          <w:szCs w:val="32"/>
        </w:rPr>
      </w:pPr>
      <w:r>
        <w:rPr>
          <w:rFonts w:eastAsia="方正仿宋_GBK"/>
          <w:szCs w:val="32"/>
        </w:rPr>
        <w:t>6</w:t>
      </w:r>
      <w:r>
        <w:rPr>
          <w:rFonts w:hint="eastAsia" w:eastAsia="方正仿宋_GBK"/>
          <w:szCs w:val="32"/>
        </w:rPr>
        <w:t>.</w:t>
      </w:r>
      <w:r>
        <w:rPr>
          <w:rFonts w:eastAsia="方正仿宋_GBK"/>
          <w:szCs w:val="32"/>
        </w:rPr>
        <w:t>成都机构上年度纳税额超过100万元（含100万）；</w:t>
      </w:r>
    </w:p>
    <w:p>
      <w:pPr>
        <w:snapToGrid w:val="0"/>
        <w:spacing w:line="540" w:lineRule="exact"/>
        <w:ind w:firstLine="636" w:firstLineChars="199"/>
        <w:rPr>
          <w:rFonts w:eastAsia="方正仿宋_GBK"/>
          <w:szCs w:val="32"/>
        </w:rPr>
      </w:pPr>
      <w:r>
        <w:rPr>
          <w:rFonts w:eastAsia="方正仿宋_GBK"/>
          <w:szCs w:val="32"/>
        </w:rPr>
        <w:t>7</w:t>
      </w:r>
      <w:r>
        <w:rPr>
          <w:rFonts w:hint="eastAsia" w:eastAsia="方正仿宋_GBK"/>
          <w:szCs w:val="32"/>
        </w:rPr>
        <w:t>.</w:t>
      </w:r>
      <w:r>
        <w:rPr>
          <w:rFonts w:eastAsia="方正仿宋_GBK"/>
          <w:szCs w:val="32"/>
        </w:rPr>
        <w:t>成都机构作为申报机构，当前经营状态正常，近3年未被列入失信联合惩戒对象管理名单。</w:t>
      </w:r>
    </w:p>
    <w:p>
      <w:pPr>
        <w:spacing w:line="540" w:lineRule="exact"/>
        <w:ind w:firstLine="640" w:firstLineChars="200"/>
        <w:jc w:val="left"/>
        <w:rPr>
          <w:rFonts w:eastAsia="方正仿宋_GBK"/>
          <w:szCs w:val="32"/>
        </w:rPr>
      </w:pPr>
      <w:r>
        <w:rPr>
          <w:rFonts w:eastAsia="方正黑体_GBK"/>
          <w:szCs w:val="32"/>
        </w:rPr>
        <w:t>三、</w:t>
      </w:r>
      <w:r>
        <w:rPr>
          <w:rFonts w:hint="eastAsia" w:eastAsia="方正黑体_GBK"/>
          <w:szCs w:val="32"/>
        </w:rPr>
        <w:t>申报材料</w:t>
      </w:r>
    </w:p>
    <w:p>
      <w:pPr>
        <w:snapToGrid w:val="0"/>
        <w:spacing w:line="540" w:lineRule="exact"/>
        <w:rPr>
          <w:rFonts w:eastAsia="方正仿宋_GBK"/>
          <w:color w:val="000000"/>
          <w:szCs w:val="32"/>
          <w:shd w:val="clear" w:color="auto" w:fill="FFFFFF"/>
        </w:rPr>
      </w:pPr>
      <w:r>
        <w:rPr>
          <w:rFonts w:hint="eastAsia" w:eastAsia="方正仿宋_GBK"/>
          <w:szCs w:val="32"/>
        </w:rPr>
        <w:t xml:space="preserve">    </w:t>
      </w:r>
      <w:r>
        <w:rPr>
          <w:rFonts w:hint="eastAsia" w:eastAsia="方正仿宋_GBK"/>
          <w:color w:val="000000"/>
          <w:szCs w:val="32"/>
          <w:shd w:val="clear" w:color="auto" w:fill="FFFFFF"/>
        </w:rPr>
        <w:t>（一）</w:t>
      </w:r>
      <w:r>
        <w:rPr>
          <w:rFonts w:eastAsia="方正仿宋_GBK"/>
          <w:color w:val="000000"/>
          <w:szCs w:val="32"/>
          <w:shd w:val="clear" w:color="auto" w:fill="FFFFFF"/>
        </w:rPr>
        <w:t>《国内外高端知识产权服务机构落户成都</w:t>
      </w:r>
      <w:r>
        <w:rPr>
          <w:rFonts w:hint="eastAsia" w:eastAsia="方正仿宋_GBK"/>
          <w:color w:val="000000"/>
          <w:szCs w:val="32"/>
          <w:shd w:val="clear" w:color="auto" w:fill="FFFFFF"/>
        </w:rPr>
        <w:t>资助项目申报书</w:t>
      </w:r>
      <w:r>
        <w:rPr>
          <w:rFonts w:eastAsia="方正仿宋_GBK"/>
          <w:color w:val="000000"/>
          <w:szCs w:val="32"/>
          <w:shd w:val="clear" w:color="auto" w:fill="FFFFFF"/>
        </w:rPr>
        <w:t>》；</w:t>
      </w:r>
    </w:p>
    <w:p>
      <w:pPr>
        <w:snapToGrid w:val="0"/>
        <w:spacing w:line="540" w:lineRule="exact"/>
        <w:ind w:firstLine="636" w:firstLineChars="199"/>
        <w:rPr>
          <w:rFonts w:eastAsia="方正仿宋_GBK"/>
          <w:color w:val="000000"/>
          <w:szCs w:val="32"/>
          <w:shd w:val="clear" w:color="auto" w:fill="FFFFFF"/>
        </w:rPr>
      </w:pPr>
      <w:r>
        <w:rPr>
          <w:rFonts w:hint="eastAsia" w:eastAsia="方正仿宋_GBK"/>
          <w:color w:val="000000"/>
          <w:szCs w:val="32"/>
          <w:shd w:val="clear" w:color="auto" w:fill="FFFFFF"/>
        </w:rPr>
        <w:t>（二）</w:t>
      </w:r>
      <w:r>
        <w:rPr>
          <w:rFonts w:eastAsia="方正仿宋_GBK"/>
          <w:color w:val="000000"/>
          <w:szCs w:val="32"/>
          <w:shd w:val="clear" w:color="auto" w:fill="FFFFFF"/>
        </w:rPr>
        <w:t>国内外机构及成都机构的主体资格证明；</w:t>
      </w:r>
    </w:p>
    <w:p>
      <w:pPr>
        <w:widowControl/>
        <w:spacing w:line="540" w:lineRule="exact"/>
        <w:ind w:firstLine="640" w:firstLineChars="200"/>
        <w:rPr>
          <w:rFonts w:eastAsia="方正仿宋_GBK"/>
          <w:color w:val="000000"/>
          <w:szCs w:val="32"/>
          <w:shd w:val="clear" w:color="auto" w:fill="FFFFFF"/>
        </w:rPr>
      </w:pPr>
      <w:r>
        <w:rPr>
          <w:rFonts w:hint="eastAsia" w:eastAsia="方正仿宋_GBK"/>
          <w:color w:val="000000"/>
          <w:szCs w:val="32"/>
          <w:shd w:val="clear" w:color="auto" w:fill="FFFFFF"/>
        </w:rPr>
        <w:t>（三）</w:t>
      </w:r>
      <w:r>
        <w:rPr>
          <w:rFonts w:eastAsia="方正仿宋_GBK"/>
          <w:color w:val="000000"/>
          <w:szCs w:val="32"/>
          <w:shd w:val="clear" w:color="auto" w:fill="FFFFFF"/>
        </w:rPr>
        <w:t>国内外机构上年度具有知识产权运营、专利无效、专利复审等业务成功案例10项以上（含10项）；或上年度代理知识产权诉讼案件结案数量达20件以上（含20件）；或已为至少3家（含3家）世界500强（或国内100强）企业提供知识产权业务服务的证明文件（包括但不限于运营合同、诉讼判决文书、调解文书、无效复审决定、知识产权服务合同等）；</w:t>
      </w:r>
    </w:p>
    <w:p>
      <w:pPr>
        <w:snapToGrid w:val="0"/>
        <w:spacing w:line="540" w:lineRule="exact"/>
        <w:ind w:firstLine="707" w:firstLineChars="221"/>
        <w:rPr>
          <w:rFonts w:eastAsia="方正仿宋_GBK"/>
          <w:color w:val="000000"/>
          <w:szCs w:val="32"/>
          <w:shd w:val="clear" w:color="auto" w:fill="FFFFFF"/>
        </w:rPr>
      </w:pPr>
      <w:r>
        <w:rPr>
          <w:rFonts w:hint="eastAsia" w:eastAsia="方正仿宋_GBK"/>
          <w:color w:val="000000"/>
          <w:szCs w:val="32"/>
          <w:shd w:val="clear" w:color="auto" w:fill="FFFFFF"/>
        </w:rPr>
        <w:t>（四）</w:t>
      </w:r>
      <w:r>
        <w:rPr>
          <w:rFonts w:eastAsia="方正仿宋_GBK"/>
          <w:color w:val="000000"/>
          <w:szCs w:val="32"/>
          <w:shd w:val="clear" w:color="auto" w:fill="FFFFFF"/>
        </w:rPr>
        <w:t>国内外机构及成都机构的知识产权专业人员清单及相关资格材料；</w:t>
      </w:r>
    </w:p>
    <w:p>
      <w:pPr>
        <w:snapToGrid w:val="0"/>
        <w:spacing w:line="540" w:lineRule="exact"/>
        <w:ind w:firstLine="707" w:firstLineChars="221"/>
        <w:rPr>
          <w:rFonts w:eastAsia="方正仿宋_GBK"/>
          <w:color w:val="000000"/>
          <w:szCs w:val="32"/>
          <w:shd w:val="clear" w:color="auto" w:fill="FFFFFF"/>
        </w:rPr>
      </w:pPr>
      <w:r>
        <w:rPr>
          <w:rFonts w:hint="eastAsia" w:eastAsia="方正仿宋_GBK"/>
          <w:color w:val="000000"/>
          <w:szCs w:val="32"/>
          <w:shd w:val="clear" w:color="auto" w:fill="FFFFFF"/>
        </w:rPr>
        <w:t>（五）</w:t>
      </w:r>
      <w:r>
        <w:rPr>
          <w:rFonts w:eastAsia="方正仿宋_GBK"/>
          <w:color w:val="000000"/>
          <w:szCs w:val="32"/>
          <w:shd w:val="clear" w:color="auto" w:fill="FFFFFF"/>
        </w:rPr>
        <w:t>成都机构上年度的纳税凭证；</w:t>
      </w:r>
    </w:p>
    <w:p>
      <w:pPr>
        <w:snapToGrid w:val="0"/>
        <w:spacing w:line="540" w:lineRule="exact"/>
        <w:ind w:firstLine="707" w:firstLineChars="221"/>
        <w:rPr>
          <w:rFonts w:eastAsia="方正仿宋_GBK"/>
          <w:color w:val="000000"/>
          <w:szCs w:val="32"/>
          <w:shd w:val="clear" w:color="auto" w:fill="FFFFFF"/>
        </w:rPr>
      </w:pPr>
      <w:r>
        <w:rPr>
          <w:rFonts w:hint="eastAsia" w:eastAsia="方正仿宋_GBK"/>
          <w:color w:val="000000"/>
          <w:szCs w:val="32"/>
          <w:shd w:val="clear" w:color="auto" w:fill="FFFFFF"/>
        </w:rPr>
        <w:t>（六）</w:t>
      </w:r>
      <w:r>
        <w:rPr>
          <w:rFonts w:eastAsia="方正仿宋_GBK"/>
          <w:color w:val="000000"/>
          <w:szCs w:val="32"/>
          <w:shd w:val="clear" w:color="auto" w:fill="FFFFFF"/>
        </w:rPr>
        <w:t>国外机构证明文件应同时提供经翻译机构盖章确认的中文翻译件；</w:t>
      </w:r>
    </w:p>
    <w:p>
      <w:pPr>
        <w:snapToGrid w:val="0"/>
        <w:spacing w:line="540" w:lineRule="exact"/>
        <w:ind w:firstLine="707" w:firstLineChars="221"/>
        <w:rPr>
          <w:rFonts w:eastAsia="方正仿宋_GBK"/>
          <w:color w:val="000000"/>
          <w:szCs w:val="32"/>
          <w:shd w:val="clear" w:color="auto" w:fill="FFFFFF"/>
        </w:rPr>
      </w:pPr>
      <w:r>
        <w:rPr>
          <w:rFonts w:hint="eastAsia" w:eastAsia="方正仿宋_GBK"/>
          <w:color w:val="000000"/>
          <w:szCs w:val="32"/>
          <w:shd w:val="clear" w:color="auto" w:fill="FFFFFF"/>
        </w:rPr>
        <w:t>（七）</w:t>
      </w:r>
      <w:r>
        <w:rPr>
          <w:rFonts w:eastAsia="方正仿宋_GBK"/>
          <w:color w:val="000000"/>
          <w:szCs w:val="32"/>
          <w:shd w:val="clear" w:color="auto" w:fill="FFFFFF"/>
        </w:rPr>
        <w:t>其它</w:t>
      </w:r>
      <w:r>
        <w:rPr>
          <w:rFonts w:hint="eastAsia" w:eastAsia="方正仿宋_GBK"/>
          <w:color w:val="000000"/>
          <w:szCs w:val="32"/>
          <w:shd w:val="clear" w:color="auto" w:fill="FFFFFF"/>
          <w:lang w:eastAsia="zh-CN"/>
        </w:rPr>
        <w:t>证明</w:t>
      </w:r>
      <w:r>
        <w:rPr>
          <w:rFonts w:eastAsia="方正仿宋_GBK"/>
          <w:color w:val="000000"/>
          <w:szCs w:val="32"/>
          <w:shd w:val="clear" w:color="auto" w:fill="FFFFFF"/>
        </w:rPr>
        <w:t>材料。</w:t>
      </w:r>
    </w:p>
    <w:p>
      <w:pPr>
        <w:snapToGrid w:val="0"/>
        <w:spacing w:line="540" w:lineRule="exact"/>
        <w:ind w:firstLine="707" w:firstLineChars="221"/>
        <w:rPr>
          <w:rFonts w:eastAsia="方正仿宋_GBK"/>
          <w:color w:val="000000"/>
          <w:szCs w:val="32"/>
          <w:shd w:val="clear" w:color="auto" w:fill="FFFFFF"/>
        </w:rPr>
      </w:pPr>
      <w:r>
        <w:rPr>
          <w:rFonts w:hint="eastAsia" w:eastAsia="方正仿宋_GBK"/>
          <w:color w:val="000000"/>
          <w:szCs w:val="32"/>
          <w:shd w:val="clear" w:color="auto" w:fill="FFFFFF"/>
          <w:lang w:eastAsia="zh-CN"/>
        </w:rPr>
        <w:t>（八）</w:t>
      </w:r>
      <w:r>
        <w:rPr>
          <w:rFonts w:eastAsia="方正仿宋_GBK"/>
          <w:color w:val="000000"/>
          <w:szCs w:val="32"/>
          <w:shd w:val="clear" w:color="auto" w:fill="FFFFFF"/>
        </w:rPr>
        <w:t>所有复印件</w:t>
      </w:r>
      <w:r>
        <w:rPr>
          <w:rFonts w:hint="eastAsia" w:eastAsia="方正仿宋_GBK"/>
          <w:color w:val="000000"/>
          <w:szCs w:val="32"/>
          <w:shd w:val="clear" w:color="auto" w:fill="FFFFFF"/>
        </w:rPr>
        <w:t>及</w:t>
      </w:r>
      <w:r>
        <w:rPr>
          <w:rFonts w:eastAsia="方正仿宋_GBK"/>
          <w:color w:val="000000"/>
          <w:szCs w:val="32"/>
          <w:shd w:val="clear" w:color="auto" w:fill="FFFFFF"/>
        </w:rPr>
        <w:t>证明文件均需加盖成都机构公章</w:t>
      </w:r>
    </w:p>
    <w:p>
      <w:pPr>
        <w:snapToGrid w:val="0"/>
        <w:spacing w:line="540" w:lineRule="exact"/>
        <w:ind w:firstLine="707" w:firstLineChars="221"/>
        <w:rPr>
          <w:rFonts w:eastAsia="仿宋_GB2312"/>
          <w:color w:val="000000"/>
          <w:szCs w:val="32"/>
        </w:rPr>
      </w:pPr>
      <w:r>
        <w:rPr>
          <w:rFonts w:hint="eastAsia" w:eastAsia="黑体"/>
          <w:color w:val="000000"/>
          <w:szCs w:val="32"/>
          <w:lang w:eastAsia="zh-CN"/>
        </w:rPr>
        <w:t>四</w:t>
      </w:r>
      <w:r>
        <w:rPr>
          <w:rFonts w:eastAsia="黑体"/>
          <w:color w:val="000000"/>
          <w:szCs w:val="32"/>
        </w:rPr>
        <w:t>、</w:t>
      </w:r>
      <w:r>
        <w:rPr>
          <w:rFonts w:hint="eastAsia" w:eastAsia="黑体"/>
          <w:color w:val="000000"/>
          <w:szCs w:val="32"/>
        </w:rPr>
        <w:t>其他事项</w:t>
      </w:r>
    </w:p>
    <w:p>
      <w:pPr>
        <w:pStyle w:val="2"/>
        <w:spacing w:after="0" w:line="540" w:lineRule="exact"/>
        <w:ind w:firstLine="707" w:firstLineChars="221"/>
        <w:rPr>
          <w:rFonts w:eastAsia="方正仿宋_GBK"/>
          <w:color w:val="000000"/>
          <w:szCs w:val="32"/>
          <w:shd w:val="clear" w:color="auto" w:fill="FFFFFF"/>
        </w:rPr>
      </w:pPr>
      <w:r>
        <w:rPr>
          <w:rFonts w:hint="eastAsia" w:eastAsia="方正仿宋_GBK"/>
          <w:color w:val="000000"/>
          <w:szCs w:val="32"/>
          <w:shd w:val="clear" w:color="auto" w:fill="FFFFFF"/>
        </w:rPr>
        <w:t>（一）项目推荐单位为区（市）县知识产权管理部门。</w:t>
      </w:r>
    </w:p>
    <w:p>
      <w:pPr>
        <w:pStyle w:val="2"/>
        <w:tabs>
          <w:tab w:val="left" w:pos="2014"/>
        </w:tabs>
        <w:spacing w:line="560" w:lineRule="exact"/>
        <w:ind w:firstLine="640" w:firstLineChars="200"/>
        <w:rPr>
          <w:rFonts w:eastAsia="方正仿宋_GBK"/>
          <w:sz w:val="32"/>
          <w:szCs w:val="32"/>
          <w:highlight w:val="none"/>
        </w:rPr>
      </w:pPr>
      <w:r>
        <w:rPr>
          <w:rFonts w:hint="eastAsia" w:eastAsia="方正仿宋_GBK"/>
          <w:color w:val="000000"/>
          <w:szCs w:val="32"/>
          <w:shd w:val="clear" w:color="auto" w:fill="FFFFFF"/>
        </w:rPr>
        <w:t>（二）</w:t>
      </w:r>
      <w:r>
        <w:rPr>
          <w:rFonts w:eastAsia="方正仿宋_GBK"/>
          <w:spacing w:val="-4"/>
          <w:sz w:val="32"/>
          <w:szCs w:val="32"/>
        </w:rPr>
        <w:t>本</w:t>
      </w:r>
      <w:r>
        <w:rPr>
          <w:rFonts w:hint="eastAsia" w:eastAsia="方正仿宋_GBK"/>
          <w:spacing w:val="-4"/>
          <w:sz w:val="32"/>
          <w:szCs w:val="32"/>
          <w:lang w:eastAsia="zh-CN"/>
        </w:rPr>
        <w:t>细则</w:t>
      </w:r>
      <w:r>
        <w:rPr>
          <w:rFonts w:eastAsia="方正仿宋_GBK"/>
          <w:spacing w:val="-4"/>
          <w:sz w:val="32"/>
          <w:szCs w:val="32"/>
        </w:rPr>
        <w:t>自2022年</w:t>
      </w:r>
      <w:r>
        <w:rPr>
          <w:rFonts w:hint="eastAsia" w:eastAsia="方正仿宋_GBK"/>
          <w:spacing w:val="-4"/>
          <w:sz w:val="32"/>
          <w:szCs w:val="32"/>
          <w:lang w:val="en-US" w:eastAsia="zh-CN"/>
        </w:rPr>
        <w:t>X</w:t>
      </w:r>
      <w:r>
        <w:rPr>
          <w:rFonts w:eastAsia="方正仿宋_GBK"/>
          <w:spacing w:val="-4"/>
          <w:sz w:val="32"/>
          <w:szCs w:val="32"/>
        </w:rPr>
        <w:t>月</w:t>
      </w:r>
      <w:r>
        <w:rPr>
          <w:rFonts w:hint="eastAsia" w:eastAsia="方正仿宋_GBK"/>
          <w:spacing w:val="-4"/>
          <w:sz w:val="32"/>
          <w:szCs w:val="32"/>
          <w:lang w:val="en-US" w:eastAsia="zh-CN"/>
        </w:rPr>
        <w:t>X</w:t>
      </w:r>
      <w:r>
        <w:rPr>
          <w:rFonts w:eastAsia="方正仿宋_GBK"/>
          <w:spacing w:val="-4"/>
          <w:sz w:val="32"/>
          <w:szCs w:val="32"/>
        </w:rPr>
        <w:t>日开始施行，有效期5年。</w:t>
      </w:r>
      <w:r>
        <w:rPr>
          <w:rFonts w:hint="eastAsia" w:eastAsia="方正仿宋_GBK"/>
          <w:spacing w:val="-4"/>
          <w:sz w:val="32"/>
          <w:szCs w:val="32"/>
          <w:lang w:eastAsia="zh-CN"/>
        </w:rPr>
        <w:t>此前有关规定</w:t>
      </w:r>
      <w:r>
        <w:rPr>
          <w:rFonts w:hint="eastAsia" w:eastAsia="方正仿宋_GBK"/>
          <w:sz w:val="32"/>
          <w:szCs w:val="32"/>
          <w:highlight w:val="none"/>
        </w:rPr>
        <w:t>与本</w:t>
      </w:r>
      <w:r>
        <w:rPr>
          <w:rFonts w:hint="eastAsia" w:eastAsia="方正仿宋_GBK"/>
          <w:sz w:val="32"/>
          <w:szCs w:val="32"/>
          <w:highlight w:val="none"/>
          <w:lang w:eastAsia="zh-CN"/>
        </w:rPr>
        <w:t>细则</w:t>
      </w:r>
      <w:r>
        <w:rPr>
          <w:rFonts w:hint="eastAsia" w:eastAsia="方正仿宋_GBK"/>
          <w:sz w:val="32"/>
          <w:szCs w:val="32"/>
          <w:highlight w:val="none"/>
        </w:rPr>
        <w:t>不一致的，以本</w:t>
      </w:r>
      <w:r>
        <w:rPr>
          <w:rFonts w:hint="eastAsia" w:eastAsia="方正仿宋_GBK"/>
          <w:sz w:val="32"/>
          <w:szCs w:val="32"/>
          <w:highlight w:val="none"/>
          <w:lang w:eastAsia="zh-CN"/>
        </w:rPr>
        <w:t>细则</w:t>
      </w:r>
      <w:r>
        <w:rPr>
          <w:rFonts w:hint="eastAsia" w:eastAsia="方正仿宋_GBK"/>
          <w:sz w:val="32"/>
          <w:szCs w:val="32"/>
          <w:highlight w:val="none"/>
        </w:rPr>
        <w:t>为准</w:t>
      </w:r>
      <w:r>
        <w:rPr>
          <w:rFonts w:eastAsia="方正仿宋_GBK"/>
          <w:sz w:val="32"/>
          <w:szCs w:val="32"/>
          <w:highlight w:val="none"/>
        </w:rPr>
        <w:t xml:space="preserve">。 </w:t>
      </w:r>
    </w:p>
    <w:p>
      <w:pPr>
        <w:pStyle w:val="2"/>
        <w:tabs>
          <w:tab w:val="left" w:pos="2014"/>
        </w:tabs>
        <w:spacing w:line="560" w:lineRule="exact"/>
        <w:ind w:firstLine="640" w:firstLineChars="200"/>
        <w:rPr>
          <w:rFonts w:eastAsia="方正仿宋_GBK"/>
          <w:color w:val="000000"/>
          <w:szCs w:val="32"/>
          <w:shd w:val="clear" w:color="auto" w:fill="FFFFFF"/>
        </w:rPr>
      </w:pPr>
      <w:r>
        <w:rPr>
          <w:rFonts w:hint="eastAsia" w:eastAsia="方正仿宋_GBK"/>
          <w:szCs w:val="32"/>
        </w:rPr>
        <w:t>（三）</w:t>
      </w:r>
      <w:r>
        <w:rPr>
          <w:rFonts w:eastAsia="方正仿宋_GBK"/>
          <w:sz w:val="32"/>
          <w:szCs w:val="32"/>
        </w:rPr>
        <w:t>本</w:t>
      </w:r>
      <w:r>
        <w:rPr>
          <w:rFonts w:hint="eastAsia" w:eastAsia="方正仿宋_GBK"/>
          <w:sz w:val="32"/>
          <w:szCs w:val="32"/>
          <w:lang w:eastAsia="zh-CN"/>
        </w:rPr>
        <w:t>细则</w:t>
      </w:r>
      <w:r>
        <w:rPr>
          <w:rFonts w:eastAsia="方正仿宋_GBK"/>
          <w:sz w:val="32"/>
          <w:szCs w:val="32"/>
        </w:rPr>
        <w:t>由成都市市场监督管理局负责解释。</w:t>
      </w:r>
    </w:p>
    <w:bookmarkEnd w:id="0"/>
    <w:p>
      <w:pPr>
        <w:pStyle w:val="2"/>
      </w:pPr>
    </w:p>
    <w:sectPr>
      <w:footerReference r:id="rId3" w:type="default"/>
      <w:footerReference r:id="rId4" w:type="even"/>
      <w:pgSz w:w="11906" w:h="16838"/>
      <w:pgMar w:top="1701" w:right="1474" w:bottom="1985" w:left="1588" w:header="851" w:footer="1588"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80"/>
      <w:jc w:val="right"/>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ascii="宋体" w:hAnsi="宋体" w:eastAsia="宋体"/>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50</w:t>
    </w:r>
    <w:r>
      <w:rPr>
        <w:rFonts w:ascii="宋体" w:hAnsi="宋体" w:eastAsia="宋体"/>
        <w:sz w:val="28"/>
      </w:rPr>
      <w:fldChar w:fldCharType="end"/>
    </w:r>
    <w:r>
      <w:rPr>
        <w:rFonts w:ascii="宋体" w:hAnsi="宋体" w:eastAsia="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0"/>
    <w:rsid w:val="00013BF2"/>
    <w:rsid w:val="000230BF"/>
    <w:rsid w:val="000266AD"/>
    <w:rsid w:val="000338F3"/>
    <w:rsid w:val="000442E6"/>
    <w:rsid w:val="00060223"/>
    <w:rsid w:val="00083A7F"/>
    <w:rsid w:val="000C642F"/>
    <w:rsid w:val="000D1E26"/>
    <w:rsid w:val="000E329D"/>
    <w:rsid w:val="000E5739"/>
    <w:rsid w:val="000F6CBF"/>
    <w:rsid w:val="00122F95"/>
    <w:rsid w:val="00127E7B"/>
    <w:rsid w:val="00150B55"/>
    <w:rsid w:val="00150C64"/>
    <w:rsid w:val="00151964"/>
    <w:rsid w:val="00152428"/>
    <w:rsid w:val="001915B9"/>
    <w:rsid w:val="00193306"/>
    <w:rsid w:val="001A43D4"/>
    <w:rsid w:val="001B2651"/>
    <w:rsid w:val="001B3ABA"/>
    <w:rsid w:val="001C380A"/>
    <w:rsid w:val="001C653B"/>
    <w:rsid w:val="001C6E49"/>
    <w:rsid w:val="001E754C"/>
    <w:rsid w:val="0020266C"/>
    <w:rsid w:val="00207C10"/>
    <w:rsid w:val="0022490E"/>
    <w:rsid w:val="0024318D"/>
    <w:rsid w:val="0024785A"/>
    <w:rsid w:val="0025063E"/>
    <w:rsid w:val="002518D8"/>
    <w:rsid w:val="002522EC"/>
    <w:rsid w:val="00255231"/>
    <w:rsid w:val="002566CA"/>
    <w:rsid w:val="002843AF"/>
    <w:rsid w:val="0028718A"/>
    <w:rsid w:val="00290F60"/>
    <w:rsid w:val="002960E6"/>
    <w:rsid w:val="0029791F"/>
    <w:rsid w:val="002A1D82"/>
    <w:rsid w:val="002A52E4"/>
    <w:rsid w:val="002B5DFF"/>
    <w:rsid w:val="002B7158"/>
    <w:rsid w:val="002C0A4D"/>
    <w:rsid w:val="002C1EC2"/>
    <w:rsid w:val="002C477D"/>
    <w:rsid w:val="002D0B31"/>
    <w:rsid w:val="002E5392"/>
    <w:rsid w:val="002F0FEA"/>
    <w:rsid w:val="002F61C2"/>
    <w:rsid w:val="002F728F"/>
    <w:rsid w:val="00304AFA"/>
    <w:rsid w:val="00306CCB"/>
    <w:rsid w:val="00324153"/>
    <w:rsid w:val="00346409"/>
    <w:rsid w:val="00362002"/>
    <w:rsid w:val="00364BE8"/>
    <w:rsid w:val="003936C0"/>
    <w:rsid w:val="003A1FBC"/>
    <w:rsid w:val="003B136B"/>
    <w:rsid w:val="003B35C8"/>
    <w:rsid w:val="003C0182"/>
    <w:rsid w:val="003C47C9"/>
    <w:rsid w:val="003D439B"/>
    <w:rsid w:val="003E6C27"/>
    <w:rsid w:val="003F07E3"/>
    <w:rsid w:val="003F5F4A"/>
    <w:rsid w:val="00404387"/>
    <w:rsid w:val="00412700"/>
    <w:rsid w:val="00417A48"/>
    <w:rsid w:val="004223CE"/>
    <w:rsid w:val="0044256F"/>
    <w:rsid w:val="00444DB9"/>
    <w:rsid w:val="00453168"/>
    <w:rsid w:val="004633C5"/>
    <w:rsid w:val="004636EB"/>
    <w:rsid w:val="00465E40"/>
    <w:rsid w:val="00473D36"/>
    <w:rsid w:val="004A41F1"/>
    <w:rsid w:val="004B0741"/>
    <w:rsid w:val="004D0C22"/>
    <w:rsid w:val="004D4C6A"/>
    <w:rsid w:val="004E2536"/>
    <w:rsid w:val="004F0895"/>
    <w:rsid w:val="004F1B25"/>
    <w:rsid w:val="005754D4"/>
    <w:rsid w:val="00576D3B"/>
    <w:rsid w:val="00584E1C"/>
    <w:rsid w:val="00592C6F"/>
    <w:rsid w:val="00593663"/>
    <w:rsid w:val="005A38F4"/>
    <w:rsid w:val="005A74D3"/>
    <w:rsid w:val="005B4F70"/>
    <w:rsid w:val="005C2750"/>
    <w:rsid w:val="005E08EA"/>
    <w:rsid w:val="005E1B9C"/>
    <w:rsid w:val="0062750F"/>
    <w:rsid w:val="00683DCC"/>
    <w:rsid w:val="00684083"/>
    <w:rsid w:val="006A742A"/>
    <w:rsid w:val="006B0C95"/>
    <w:rsid w:val="006B1ABD"/>
    <w:rsid w:val="006B35E1"/>
    <w:rsid w:val="006B4200"/>
    <w:rsid w:val="006B43B4"/>
    <w:rsid w:val="006B6E87"/>
    <w:rsid w:val="006C6111"/>
    <w:rsid w:val="006E5895"/>
    <w:rsid w:val="006F1EF5"/>
    <w:rsid w:val="006F7C8F"/>
    <w:rsid w:val="007403CE"/>
    <w:rsid w:val="007A7D8C"/>
    <w:rsid w:val="007D3D47"/>
    <w:rsid w:val="007F302C"/>
    <w:rsid w:val="00803AFE"/>
    <w:rsid w:val="00826477"/>
    <w:rsid w:val="00836597"/>
    <w:rsid w:val="008554F3"/>
    <w:rsid w:val="00883AA1"/>
    <w:rsid w:val="0088457F"/>
    <w:rsid w:val="008847F9"/>
    <w:rsid w:val="0088718C"/>
    <w:rsid w:val="00891D6E"/>
    <w:rsid w:val="0089573E"/>
    <w:rsid w:val="00897CED"/>
    <w:rsid w:val="008A7EF4"/>
    <w:rsid w:val="008B6617"/>
    <w:rsid w:val="008C3655"/>
    <w:rsid w:val="008C3EDE"/>
    <w:rsid w:val="008E0F26"/>
    <w:rsid w:val="008E218A"/>
    <w:rsid w:val="008F0447"/>
    <w:rsid w:val="0090669C"/>
    <w:rsid w:val="00915A86"/>
    <w:rsid w:val="0092183A"/>
    <w:rsid w:val="0092736C"/>
    <w:rsid w:val="00941FFC"/>
    <w:rsid w:val="00942194"/>
    <w:rsid w:val="00954674"/>
    <w:rsid w:val="00962914"/>
    <w:rsid w:val="00982C00"/>
    <w:rsid w:val="00987F10"/>
    <w:rsid w:val="009B133D"/>
    <w:rsid w:val="009C01A0"/>
    <w:rsid w:val="009D649F"/>
    <w:rsid w:val="009F0712"/>
    <w:rsid w:val="009F184C"/>
    <w:rsid w:val="009F45D4"/>
    <w:rsid w:val="009F6BAF"/>
    <w:rsid w:val="00A04832"/>
    <w:rsid w:val="00A064D5"/>
    <w:rsid w:val="00A15494"/>
    <w:rsid w:val="00A24B21"/>
    <w:rsid w:val="00A4294A"/>
    <w:rsid w:val="00A5551E"/>
    <w:rsid w:val="00A6483F"/>
    <w:rsid w:val="00A675CC"/>
    <w:rsid w:val="00A970FB"/>
    <w:rsid w:val="00AA5D17"/>
    <w:rsid w:val="00AC6EA7"/>
    <w:rsid w:val="00AF1AA7"/>
    <w:rsid w:val="00B04C68"/>
    <w:rsid w:val="00B06A4A"/>
    <w:rsid w:val="00B138A6"/>
    <w:rsid w:val="00B27F1C"/>
    <w:rsid w:val="00B37608"/>
    <w:rsid w:val="00B65DAA"/>
    <w:rsid w:val="00B66AE0"/>
    <w:rsid w:val="00B71303"/>
    <w:rsid w:val="00B71896"/>
    <w:rsid w:val="00B741D3"/>
    <w:rsid w:val="00B83BAE"/>
    <w:rsid w:val="00B90E5E"/>
    <w:rsid w:val="00BA5B7A"/>
    <w:rsid w:val="00BB51C3"/>
    <w:rsid w:val="00BC6F1C"/>
    <w:rsid w:val="00BD104E"/>
    <w:rsid w:val="00BF0C02"/>
    <w:rsid w:val="00C028F5"/>
    <w:rsid w:val="00C0330D"/>
    <w:rsid w:val="00C222E7"/>
    <w:rsid w:val="00C3589E"/>
    <w:rsid w:val="00C44E95"/>
    <w:rsid w:val="00C6444F"/>
    <w:rsid w:val="00C73A28"/>
    <w:rsid w:val="00CA232C"/>
    <w:rsid w:val="00CB232C"/>
    <w:rsid w:val="00CE7B14"/>
    <w:rsid w:val="00CF436D"/>
    <w:rsid w:val="00CF7F2F"/>
    <w:rsid w:val="00D206A1"/>
    <w:rsid w:val="00D2419A"/>
    <w:rsid w:val="00D3035F"/>
    <w:rsid w:val="00D57532"/>
    <w:rsid w:val="00D94EEF"/>
    <w:rsid w:val="00D953EA"/>
    <w:rsid w:val="00DA074B"/>
    <w:rsid w:val="00DA3662"/>
    <w:rsid w:val="00DB4ED3"/>
    <w:rsid w:val="00DB5426"/>
    <w:rsid w:val="00DB6D0A"/>
    <w:rsid w:val="00DB7801"/>
    <w:rsid w:val="00DC1F5D"/>
    <w:rsid w:val="00DE390F"/>
    <w:rsid w:val="00DF2572"/>
    <w:rsid w:val="00DF749E"/>
    <w:rsid w:val="00E0441E"/>
    <w:rsid w:val="00E24776"/>
    <w:rsid w:val="00E3434C"/>
    <w:rsid w:val="00E34986"/>
    <w:rsid w:val="00E530DB"/>
    <w:rsid w:val="00E54FAB"/>
    <w:rsid w:val="00E54FCA"/>
    <w:rsid w:val="00E64072"/>
    <w:rsid w:val="00E64C40"/>
    <w:rsid w:val="00E7471F"/>
    <w:rsid w:val="00E81F8B"/>
    <w:rsid w:val="00E86CA4"/>
    <w:rsid w:val="00E9367E"/>
    <w:rsid w:val="00E95E25"/>
    <w:rsid w:val="00EA24D5"/>
    <w:rsid w:val="00EB25C8"/>
    <w:rsid w:val="00EB7382"/>
    <w:rsid w:val="00ED275D"/>
    <w:rsid w:val="00ED323B"/>
    <w:rsid w:val="00EE5906"/>
    <w:rsid w:val="00EF5B9E"/>
    <w:rsid w:val="00EF655D"/>
    <w:rsid w:val="00F15589"/>
    <w:rsid w:val="00F3657E"/>
    <w:rsid w:val="00F36E87"/>
    <w:rsid w:val="00F438CD"/>
    <w:rsid w:val="00F557A8"/>
    <w:rsid w:val="00F60AE8"/>
    <w:rsid w:val="00F73981"/>
    <w:rsid w:val="00F9363D"/>
    <w:rsid w:val="00F971DE"/>
    <w:rsid w:val="00FA1E6F"/>
    <w:rsid w:val="00FA6E4D"/>
    <w:rsid w:val="00FB6ED6"/>
    <w:rsid w:val="00FB7C10"/>
    <w:rsid w:val="00FD2B91"/>
    <w:rsid w:val="00FE4595"/>
    <w:rsid w:val="00FE76E3"/>
    <w:rsid w:val="00FE7A3B"/>
    <w:rsid w:val="1A4A2DC3"/>
    <w:rsid w:val="335D5322"/>
    <w:rsid w:val="39CD5942"/>
    <w:rsid w:val="57BB2F4D"/>
    <w:rsid w:val="76BF8B5B"/>
    <w:rsid w:val="7BA705E8"/>
    <w:rsid w:val="7DD77753"/>
    <w:rsid w:val="7E7ED0AF"/>
    <w:rsid w:val="7FEEBE0F"/>
    <w:rsid w:val="7FFFC986"/>
    <w:rsid w:val="93FF0268"/>
    <w:rsid w:val="97FFFFEA"/>
    <w:rsid w:val="9EFFC477"/>
    <w:rsid w:val="C5B71E33"/>
    <w:rsid w:val="D7EF196C"/>
    <w:rsid w:val="DF7D9EB7"/>
    <w:rsid w:val="EDF63647"/>
    <w:rsid w:val="F3B5C94D"/>
    <w:rsid w:val="FBEFB84D"/>
    <w:rsid w:val="FFDFEE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link w:val="11"/>
    <w:qFormat/>
    <w:uiPriority w:val="99"/>
    <w:pPr>
      <w:ind w:left="100" w:leftChars="2500"/>
    </w:pPr>
  </w:style>
  <w:style w:type="paragraph" w:styleId="4">
    <w:name w:val="Balloon Text"/>
    <w:basedOn w:val="1"/>
    <w:link w:val="14"/>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page number"/>
    <w:basedOn w:val="7"/>
    <w:qFormat/>
    <w:uiPriority w:val="0"/>
  </w:style>
  <w:style w:type="character" w:customStyle="1" w:styleId="11">
    <w:name w:val="日期 Char"/>
    <w:link w:val="3"/>
    <w:qFormat/>
    <w:locked/>
    <w:uiPriority w:val="99"/>
    <w:rPr>
      <w:rFonts w:ascii="Times New Roman" w:hAnsi="Times New Roman" w:eastAsia="仿宋" w:cs="Times New Roman"/>
      <w:kern w:val="2"/>
      <w:sz w:val="32"/>
    </w:rPr>
  </w:style>
  <w:style w:type="character" w:customStyle="1" w:styleId="12">
    <w:name w:val="页脚 Char"/>
    <w:link w:val="5"/>
    <w:qFormat/>
    <w:locked/>
    <w:uiPriority w:val="99"/>
    <w:rPr>
      <w:rFonts w:ascii="Times New Roman" w:hAnsi="Times New Roman" w:eastAsia="仿宋" w:cs="Times New Roman"/>
      <w:kern w:val="2"/>
      <w:sz w:val="18"/>
    </w:rPr>
  </w:style>
  <w:style w:type="character" w:customStyle="1" w:styleId="13">
    <w:name w:val="页眉 Char"/>
    <w:basedOn w:val="7"/>
    <w:link w:val="6"/>
    <w:qFormat/>
    <w:uiPriority w:val="0"/>
    <w:rPr>
      <w:rFonts w:ascii="Times New Roman" w:hAnsi="Times New Roman" w:eastAsia="仿宋" w:cs="Times New Roman"/>
      <w:kern w:val="2"/>
      <w:sz w:val="18"/>
      <w:szCs w:val="18"/>
    </w:rPr>
  </w:style>
  <w:style w:type="character" w:customStyle="1" w:styleId="14">
    <w:name w:val="批注框文本 Char"/>
    <w:basedOn w:val="7"/>
    <w:link w:val="4"/>
    <w:qFormat/>
    <w:uiPriority w:val="0"/>
    <w:rPr>
      <w:rFonts w:ascii="Times New Roman" w:hAnsi="Times New Roman" w:eastAsia="仿宋" w:cs="Times New Roman"/>
      <w:kern w:val="2"/>
      <w:sz w:val="18"/>
      <w:szCs w:val="18"/>
    </w:rPr>
  </w:style>
  <w:style w:type="paragraph" w:customStyle="1" w:styleId="15">
    <w:name w:val="Char"/>
    <w:basedOn w:val="1"/>
    <w:next w:val="1"/>
    <w:qFormat/>
    <w:uiPriority w:val="0"/>
    <w:pPr>
      <w:spacing w:line="240" w:lineRule="atLeast"/>
      <w:ind w:left="420" w:firstLine="420"/>
      <w:jc w:val="left"/>
    </w:pPr>
    <w:rPr>
      <w:rFonts w:eastAsia="宋体"/>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7</Pages>
  <Words>356</Words>
  <Characters>2034</Characters>
  <Lines>16</Lines>
  <Paragraphs>4</Paragraphs>
  <TotalTime>0</TotalTime>
  <ScaleCrop>false</ScaleCrop>
  <LinksUpToDate>false</LinksUpToDate>
  <CharactersWithSpaces>2386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2022-03-03T06:19:00Z</dcterms:created>
  <dc:creator>scjg</dc:creator>
  <cp:lastModifiedBy>知识产权规划发展处:邹昆</cp:lastModifiedBy>
  <cp:lastPrinted>2021-04-15T08:18:00Z</cp:lastPrinted>
  <dcterms:modified xsi:type="dcterms:W3CDTF">2022-03-16T03:37:43Z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951B6C33B7244FD9B7E4F5D0A44F0C57</vt:lpwstr>
  </property>
</Properties>
</file>