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jc w:val="center"/>
        <w:rPr>
          <w:rFonts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政策解读</w:t>
      </w:r>
    </w:p>
    <w:p>
      <w:pPr>
        <w:widowControl/>
        <w:adjustRightInd w:val="0"/>
        <w:snapToGrid w:val="0"/>
        <w:spacing w:line="600" w:lineRule="exact"/>
        <w:ind w:left="640"/>
        <w:rPr>
          <w:rFonts w:ascii="Times New Roman" w:hAnsi="Times New Roman" w:eastAsia="方正仿宋_GBK" w:cs="Times New Roman"/>
          <w:color w:val="auto"/>
          <w:sz w:val="32"/>
          <w:szCs w:val="32"/>
          <w:lang w:bidi="ar"/>
        </w:rPr>
      </w:pPr>
      <w:r>
        <w:rPr>
          <w:rFonts w:hint="eastAsia" w:ascii="方正黑体_GBK" w:hAnsi="方正黑体_GBK" w:eastAsia="方正黑体_GBK" w:cs="方正黑体_GBK"/>
          <w:color w:val="auto"/>
          <w:sz w:val="32"/>
          <w:szCs w:val="32"/>
        </w:rPr>
        <w:t>一、规划背景</w:t>
      </w:r>
    </w:p>
    <w:p>
      <w:pPr>
        <w:widowControl/>
        <w:spacing w:line="600" w:lineRule="exact"/>
        <w:ind w:firstLine="640" w:firstLineChars="200"/>
        <w:rPr>
          <w:rFonts w:ascii="Times New Roman" w:hAnsi="Times New Roman" w:eastAsia="方正仿宋_GBK" w:cs="Times New Roman"/>
          <w:bCs/>
          <w:color w:val="auto"/>
          <w:sz w:val="32"/>
          <w:szCs w:val="32"/>
        </w:rPr>
      </w:pPr>
      <w:r>
        <w:rPr>
          <w:rFonts w:hint="eastAsia" w:ascii="方正仿宋_GBK" w:hAnsi="Times New Roman" w:eastAsia="方正仿宋_GBK" w:cs="Times New Roman"/>
          <w:bCs/>
          <w:color w:val="auto"/>
          <w:sz w:val="32"/>
          <w:szCs w:val="32"/>
        </w:rPr>
        <w:t>“十三五”期</w:t>
      </w:r>
      <w:r>
        <w:rPr>
          <w:rFonts w:hint="eastAsia" w:ascii="Times New Roman" w:hAnsi="Times New Roman" w:eastAsia="方正仿宋_GBK" w:cs="Times New Roman"/>
          <w:bCs/>
          <w:color w:val="auto"/>
          <w:sz w:val="32"/>
          <w:szCs w:val="32"/>
        </w:rPr>
        <w:t>间，成都市先后开展国家知识产权强市创建、国家知识产权运营服务体系重点城市建设等重大任务，知识产权创造、运用、保护、管理和服务各环节均取得突破性进展，为知识产权全链条保护和高效益运用奠定了坚实的基础。</w:t>
      </w:r>
      <w:r>
        <w:rPr>
          <w:rFonts w:hint="eastAsia" w:ascii="方正仿宋_GBK" w:hAnsi="Times New Roman" w:eastAsia="方正仿宋_GBK" w:cs="Times New Roman"/>
          <w:bCs/>
          <w:color w:val="auto"/>
          <w:sz w:val="32"/>
          <w:szCs w:val="32"/>
        </w:rPr>
        <w:t>“十四五”期间，成都加快建设社会主义现代化新天府、可持续发展世界城市，应进一步提高知识产权领域国内国际竞争力，在</w:t>
      </w:r>
      <w:r>
        <w:rPr>
          <w:rFonts w:hint="eastAsia" w:ascii="Times New Roman" w:hAnsi="Times New Roman" w:eastAsia="方正仿宋_GBK" w:cs="Times New Roman"/>
          <w:bCs/>
          <w:color w:val="auto"/>
          <w:sz w:val="32"/>
          <w:szCs w:val="32"/>
        </w:rPr>
        <w:t>新一轮西部大开发战略以及成渝地区双城经济圈建设中更多担当，更大作为。深入实施创新驱动发展战略，推动高质量发展，编制并实施《成都市知识产权保护和运用“十四五”规划》（以下简称《规划》）是落实党中央国务院和省委省政府、市委市政府重大决策部署，全面落实知识产权强国建设纲要，深入实施知识产权强市战略的重要举措，对建设具有全国影响力的科技创新中心，构建高质量发展现代产业体系，打造国际一流营商环境具有重要意义。</w:t>
      </w:r>
    </w:p>
    <w:p>
      <w:pPr>
        <w:pStyle w:val="2"/>
        <w:ind w:left="0" w:leftChars="0" w:firstLine="640" w:firstLineChars="200"/>
        <w:rPr>
          <w:rFonts w:ascii="方正黑体_GBK" w:hAnsi="方正黑体_GBK" w:eastAsia="方正黑体_GBK" w:cs="方正黑体_GBK"/>
          <w:color w:val="auto"/>
          <w:sz w:val="32"/>
          <w:szCs w:val="32"/>
        </w:rPr>
      </w:pPr>
      <w:r>
        <w:rPr>
          <w:rFonts w:hint="eastAsia" w:ascii="Times New Roman" w:hAnsi="Times New Roman" w:eastAsia="方正仿宋_GBK" w:cs="Times New Roman"/>
          <w:color w:val="auto"/>
          <w:sz w:val="32"/>
          <w:szCs w:val="32"/>
          <w:lang w:bidi="ar"/>
        </w:rPr>
        <w:t>按照市政府要求，市市场监督管理局牵头实施《规划》编制工作。《规划》经反复调查研究、多方论证衔接，在广泛征求市级相关部门、各区（市）县政府、省内外专家及社会公众意见建议基础上，经市政府常务会审定后，由市政府批复实施。</w:t>
      </w:r>
    </w:p>
    <w:p>
      <w:pPr>
        <w:pStyle w:val="19"/>
        <w:ind w:firstLine="640" w:firstLineChars="200"/>
        <w:jc w:val="both"/>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二、主要内容</w:t>
      </w:r>
    </w:p>
    <w:p>
      <w:pPr>
        <w:pStyle w:val="2"/>
        <w:ind w:left="0" w:leftChars="0" w:firstLine="640" w:firstLineChars="200"/>
        <w:rPr>
          <w:rFonts w:ascii="Times New Roman" w:hAnsi="Times New Roman" w:eastAsia="方正仿宋_GBK" w:cs="Times New Roman"/>
          <w:color w:val="auto"/>
          <w:sz w:val="32"/>
          <w:szCs w:val="32"/>
          <w:lang w:bidi="ar"/>
        </w:rPr>
      </w:pPr>
      <w:r>
        <w:rPr>
          <w:rFonts w:hint="eastAsia" w:ascii="方正楷体_GBK" w:hAnsi="方正楷体_GBK" w:eastAsia="方正楷体_GBK" w:cs="方正楷体_GBK"/>
          <w:color w:val="auto"/>
          <w:sz w:val="32"/>
          <w:szCs w:val="32"/>
          <w:lang w:bidi="ar"/>
        </w:rPr>
        <w:t>（一）</w:t>
      </w:r>
      <w:r>
        <w:rPr>
          <w:rFonts w:ascii="方正楷体_GBK" w:hAnsi="方正楷体_GBK" w:eastAsia="方正楷体_GBK" w:cs="方正楷体_GBK"/>
          <w:color w:val="auto"/>
          <w:sz w:val="32"/>
          <w:szCs w:val="32"/>
          <w:lang w:bidi="ar"/>
        </w:rPr>
        <w:t>基本</w:t>
      </w:r>
      <w:r>
        <w:rPr>
          <w:rFonts w:hint="eastAsia" w:ascii="方正楷体_GBK" w:hAnsi="方正楷体_GBK" w:eastAsia="方正楷体_GBK" w:cs="方正楷体_GBK"/>
          <w:color w:val="auto"/>
          <w:sz w:val="32"/>
          <w:szCs w:val="32"/>
          <w:lang w:bidi="ar"/>
        </w:rPr>
        <w:t>框架。</w:t>
      </w:r>
      <w:r>
        <w:rPr>
          <w:rFonts w:hint="eastAsia" w:ascii="Times New Roman" w:hAnsi="Times New Roman" w:eastAsia="方正仿宋_GBK" w:cs="Times New Roman"/>
          <w:color w:val="auto"/>
          <w:sz w:val="32"/>
          <w:szCs w:val="32"/>
          <w:lang w:bidi="ar"/>
        </w:rPr>
        <w:t>《规划》以章节为序，依次排布规划背景、总体要求、主要任务、保障措施等共七章内容。第一章是规划背景，主要总结“十三五”时期知识产权工作取得的成效，梳理“十三五”时期知识产权事业发展问题短板与“十四五”时期面临挑战，分析“十四五”时期发展形势。第二章是总体思路，明确“十四五”时期知识产权保护和运用的指导思想、基本原则和发展目标。第三至第六章是主要任务，提出构建知识产权区域发展新格局、推动知识产权高质量发展、健全知识产权大保护体系、筑牢知识产权发展基础四方面任务。第七章是保障措施，提出组织保障、资金保障、机制保障和考核评估四方面措施，确保规划有效落实。</w:t>
      </w:r>
    </w:p>
    <w:p>
      <w:pPr>
        <w:pStyle w:val="2"/>
        <w:ind w:left="0" w:leftChars="0" w:firstLine="620" w:firstLineChars="200"/>
        <w:rPr>
          <w:rFonts w:ascii="Times New Roman" w:hAnsi="Times New Roman" w:eastAsia="方正仿宋_GBK" w:cs="Times New Roman"/>
          <w:color w:val="auto"/>
          <w:sz w:val="32"/>
          <w:szCs w:val="32"/>
        </w:rPr>
      </w:pPr>
      <w:r>
        <w:rPr>
          <w:rFonts w:hint="eastAsia" w:ascii="方正楷体_GBK" w:hAnsi="方正楷体_GBK" w:eastAsia="方正楷体_GBK" w:cs="方正楷体_GBK"/>
          <w:color w:val="auto"/>
          <w:kern w:val="0"/>
          <w:sz w:val="31"/>
          <w:szCs w:val="31"/>
          <w:lang w:bidi="ar"/>
        </w:rPr>
        <w:t>（二）总体要求。</w:t>
      </w:r>
      <w:r>
        <w:rPr>
          <w:rFonts w:hint="eastAsia" w:ascii="Times New Roman" w:hAnsi="Times New Roman" w:eastAsia="方正仿宋_GBK" w:cs="Times New Roman"/>
          <w:color w:val="auto"/>
          <w:sz w:val="32"/>
          <w:szCs w:val="32"/>
        </w:rPr>
        <w:t>《规划》提出要坚持稳中求进工作总基调，牢固树立保护知识产权就是保护创新的理念，深化知识产权改革创新，以重点工作、重大改革为抓手，努力建成国内国际知识产权保护典范城市和国家引领型知识产权强市，为成都推进成渝地区双城经济圈建设和建设践行新发展理念的公园城市示范区提供有力支撑。《规划》提出了4个基本原则：坚持统筹全局性规划，从推动城市高质量发展角度出发，以全局谋划一域、以一域服务全局；坚持强化全链条保护，打通知识产权创造、运用、保护、管理、服务全链条，构建大保护工作格局，打造知识产权保护典范城市；坚持发展质量型引领，着力强化知识产权运营，全面提升知识产权转化运用成效；坚持要素市场化配置，搭建知产桥梁，持续优化营商环境，加大国际国内交流合作，促进市场资源合理流动和高效配置。</w:t>
      </w:r>
    </w:p>
    <w:p>
      <w:pPr>
        <w:pStyle w:val="2"/>
        <w:ind w:left="0" w:leftChars="0" w:firstLine="620" w:firstLineChars="200"/>
        <w:rPr>
          <w:rFonts w:ascii="方正黑体_GBK" w:hAnsi="方正黑体_GBK" w:eastAsia="方正黑体_GBK" w:cs="方正黑体_GBK"/>
          <w:color w:val="auto"/>
          <w:sz w:val="32"/>
          <w:szCs w:val="32"/>
        </w:rPr>
      </w:pPr>
      <w:r>
        <w:rPr>
          <w:rFonts w:hint="eastAsia" w:ascii="方正楷体_GBK" w:hAnsi="方正楷体_GBK" w:eastAsia="方正楷体_GBK" w:cs="方正楷体_GBK"/>
          <w:color w:val="auto"/>
          <w:kern w:val="0"/>
          <w:sz w:val="31"/>
          <w:szCs w:val="31"/>
          <w:lang w:bidi="ar"/>
        </w:rPr>
        <w:t>（三）目标体系。</w:t>
      </w:r>
      <w:r>
        <w:rPr>
          <w:rFonts w:hint="eastAsia" w:ascii="Times New Roman" w:hAnsi="Times New Roman" w:eastAsia="方正仿宋_GBK" w:cs="Times New Roman"/>
          <w:color w:val="auto"/>
          <w:sz w:val="32"/>
          <w:szCs w:val="32"/>
          <w:lang w:bidi="ar"/>
        </w:rPr>
        <w:t>对表国家、省局知识产权保护和运用“十四五”规划，立足成都实际，《规划》从知识产权创造质量、运用效益、保护环境和优质服务领域四个方面提出1</w:t>
      </w:r>
      <w:r>
        <w:rPr>
          <w:rFonts w:hint="eastAsia" w:ascii="Times New Roman" w:hAnsi="Times New Roman" w:eastAsia="方正仿宋_GBK" w:cs="Times New Roman"/>
          <w:color w:val="auto"/>
          <w:sz w:val="32"/>
          <w:szCs w:val="32"/>
          <w:lang w:val="en-US" w:eastAsia="zh-CN" w:bidi="ar"/>
        </w:rPr>
        <w:t>5</w:t>
      </w:r>
      <w:r>
        <w:rPr>
          <w:rFonts w:hint="eastAsia" w:ascii="Times New Roman" w:hAnsi="Times New Roman" w:eastAsia="方正仿宋_GBK" w:cs="Times New Roman"/>
          <w:color w:val="auto"/>
          <w:sz w:val="32"/>
          <w:szCs w:val="32"/>
          <w:lang w:bidi="ar"/>
        </w:rPr>
        <w:t>项调控指标，系统构建“十四五”期间知识产权目标体系。各项指标均经过专题研讨、意见征求和科学测算后形成。</w:t>
      </w:r>
    </w:p>
    <w:p>
      <w:pPr>
        <w:pStyle w:val="19"/>
        <w:ind w:firstLine="640" w:firstLineChars="200"/>
        <w:jc w:val="both"/>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三、主要特色</w:t>
      </w:r>
    </w:p>
    <w:p>
      <w:pPr>
        <w:spacing w:line="600" w:lineRule="exact"/>
        <w:ind w:firstLine="620" w:firstLineChars="200"/>
        <w:rPr>
          <w:rFonts w:ascii="Times New Roman" w:hAnsi="Times New Roman" w:eastAsia="方正仿宋_GBK" w:cs="Times New Roman"/>
          <w:color w:val="auto"/>
          <w:sz w:val="32"/>
          <w:szCs w:val="32"/>
          <w:lang w:bidi="ar"/>
        </w:rPr>
      </w:pPr>
      <w:r>
        <w:rPr>
          <w:rFonts w:hint="eastAsia" w:ascii="方正楷体_GBK" w:hAnsi="方正楷体_GBK" w:eastAsia="方正楷体_GBK" w:cs="方正楷体_GBK"/>
          <w:color w:val="auto"/>
          <w:kern w:val="0"/>
          <w:sz w:val="31"/>
          <w:szCs w:val="31"/>
          <w:lang w:bidi="ar"/>
        </w:rPr>
        <w:t>（一）始终坚持以高质量发展为主线。</w:t>
      </w:r>
      <w:r>
        <w:rPr>
          <w:rFonts w:hint="eastAsia" w:ascii="Times New Roman" w:hAnsi="Times New Roman" w:eastAsia="方正仿宋_GBK" w:cs="Times New Roman"/>
          <w:color w:val="auto"/>
          <w:sz w:val="32"/>
          <w:szCs w:val="32"/>
          <w:lang w:bidi="ar"/>
        </w:rPr>
        <w:t>党的十九届五中全会提出，“十四五”时期经济社会发展要以推动高质量发展为主题。习近平总书记强调，知识产权保护工作关系国家治理体系和治理能力现代化，关系高质量发展，关系人民生活幸福，关系国家对外开放大局，关系国家安全。《规划》紧紧围绕成都市“高质量发展”的主题主线，立足产业发展和科技创新，聚焦重点产业链，以产业生态圈和产业功能区为重要载体，深入推进知识产权高质量创造、高水平保护、高效益运用和高标准服务，为成都经济高质量发展提供有力支撑。</w:t>
      </w:r>
    </w:p>
    <w:p>
      <w:pPr>
        <w:spacing w:line="600" w:lineRule="exact"/>
        <w:ind w:firstLine="620" w:firstLineChars="200"/>
        <w:rPr>
          <w:rFonts w:ascii="Times New Roman" w:hAnsi="Times New Roman" w:eastAsia="方正仿宋_GBK" w:cs="Times New Roman"/>
          <w:color w:val="auto"/>
          <w:sz w:val="32"/>
          <w:szCs w:val="32"/>
          <w:lang w:bidi="ar"/>
        </w:rPr>
      </w:pPr>
      <w:r>
        <w:rPr>
          <w:rFonts w:hint="eastAsia" w:ascii="方正楷体_GBK" w:hAnsi="方正楷体_GBK" w:eastAsia="方正楷体_GBK" w:cs="方正楷体_GBK"/>
          <w:color w:val="auto"/>
          <w:kern w:val="0"/>
          <w:sz w:val="31"/>
          <w:szCs w:val="31"/>
          <w:lang w:bidi="ar"/>
        </w:rPr>
        <w:t>（二）始终坚持问题与目标导向。</w:t>
      </w:r>
      <w:r>
        <w:rPr>
          <w:rFonts w:hint="eastAsia" w:ascii="Times New Roman" w:hAnsi="Times New Roman" w:eastAsia="方正仿宋_GBK" w:cs="Times New Roman"/>
          <w:color w:val="auto"/>
          <w:sz w:val="32"/>
          <w:szCs w:val="32"/>
          <w:lang w:bidi="ar"/>
        </w:rPr>
        <w:t>《规划》充分结合国家“十四五”时期进一步聚焦知识产权保护、提高转化运营效率、强化服务供给、加强人才队伍建设等重点方向，系统谋划我市知识产权发展战略，强调发挥知识产权制度在我市建设“践行新发展理念的公园城市示范区”中的重要作用，积极回应新技术、新经济、新形势对知识产权制度提出的新挑战，突出知识产权作为我市发展战略性资源和城市竞争力核心要素的重要性。</w:t>
      </w:r>
    </w:p>
    <w:p>
      <w:pPr>
        <w:spacing w:line="600" w:lineRule="exact"/>
        <w:ind w:firstLine="620" w:firstLineChars="200"/>
        <w:rPr>
          <w:rFonts w:hint="eastAsia" w:ascii="Times New Roman" w:hAnsi="Times New Roman" w:eastAsia="方正仿宋_GBK" w:cs="Times New Roman"/>
          <w:color w:val="auto"/>
          <w:sz w:val="32"/>
          <w:szCs w:val="32"/>
          <w:lang w:bidi="ar"/>
        </w:rPr>
      </w:pPr>
      <w:r>
        <w:rPr>
          <w:rFonts w:hint="eastAsia" w:ascii="方正楷体_GBK" w:hAnsi="方正楷体_GBK" w:eastAsia="方正楷体_GBK" w:cs="方正楷体_GBK"/>
          <w:color w:val="auto"/>
          <w:kern w:val="0"/>
          <w:sz w:val="31"/>
          <w:szCs w:val="31"/>
          <w:lang w:bidi="ar"/>
        </w:rPr>
        <w:t>（三）始终坚持构建区域“一体化”发展格局。</w:t>
      </w:r>
      <w:r>
        <w:rPr>
          <w:rFonts w:hint="eastAsia" w:ascii="Times New Roman" w:hAnsi="Times New Roman" w:eastAsia="方正仿宋_GBK" w:cs="Times New Roman"/>
          <w:color w:val="auto"/>
          <w:sz w:val="32"/>
          <w:szCs w:val="32"/>
          <w:lang w:bidi="ar"/>
        </w:rPr>
        <w:t>《规划》坚持服务成渝地区双城经济圈建设大局，充分发挥成都在全省“一干多支、五区协同”中的主干作用，深化区域“一体化”合作，聚焦知识产权全链条保护，统筹推进知识产权领域国内国际合作和竞争，更大力度加强知识产权保护区域合作，打造知识产权保护典范城市。</w:t>
      </w:r>
    </w:p>
    <w:p>
      <w:pPr>
        <w:pStyle w:val="2"/>
        <w:rPr>
          <w:rFonts w:hint="eastAsia" w:ascii="Times New Roman" w:hAnsi="Times New Roman" w:eastAsia="方正仿宋_GBK" w:cs="Times New Roman"/>
          <w:color w:val="auto"/>
          <w:sz w:val="32"/>
          <w:szCs w:val="32"/>
          <w:lang w:bidi="ar"/>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方正仿宋_GBK" w:cs="Times New Roman"/>
          <w:color w:val="auto"/>
          <w:kern w:val="2"/>
          <w:sz w:val="32"/>
          <w:szCs w:val="32"/>
          <w:lang w:val="en-US" w:eastAsia="zh-CN" w:bidi="ar"/>
        </w:rPr>
      </w:pPr>
      <w:r>
        <w:rPr>
          <w:rFonts w:hint="eastAsia" w:ascii="Times New Roman" w:hAnsi="Times New Roman" w:eastAsia="方正仿宋_GBK" w:cs="Times New Roman"/>
          <w:color w:val="auto"/>
          <w:kern w:val="2"/>
          <w:sz w:val="32"/>
          <w:szCs w:val="32"/>
          <w:lang w:val="en-US" w:eastAsia="zh-CN" w:bidi="ar"/>
        </w:rPr>
        <w:t>解读机构：成都市市场监督管理局知识产权发展处</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方正仿宋_GBK" w:cs="Times New Roman"/>
          <w:color w:val="auto"/>
          <w:kern w:val="2"/>
          <w:sz w:val="32"/>
          <w:szCs w:val="32"/>
          <w:lang w:val="en-US" w:eastAsia="zh-CN" w:bidi="ar"/>
        </w:rPr>
      </w:pPr>
      <w:r>
        <w:rPr>
          <w:rFonts w:hint="eastAsia" w:ascii="Times New Roman" w:hAnsi="Times New Roman" w:eastAsia="方正仿宋_GBK" w:cs="Times New Roman"/>
          <w:color w:val="auto"/>
          <w:kern w:val="2"/>
          <w:sz w:val="32"/>
          <w:szCs w:val="32"/>
          <w:lang w:val="en-US" w:eastAsia="zh-CN" w:bidi="ar"/>
        </w:rPr>
        <w:t>解读人：阳林</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方正仿宋_GBK" w:cs="Times New Roman"/>
          <w:color w:val="auto"/>
          <w:kern w:val="2"/>
          <w:sz w:val="32"/>
          <w:szCs w:val="32"/>
          <w:lang w:val="en" w:eastAsia="zh-CN" w:bidi="ar"/>
        </w:rPr>
      </w:pPr>
      <w:r>
        <w:rPr>
          <w:rFonts w:hint="eastAsia" w:ascii="Times New Roman" w:hAnsi="Times New Roman" w:eastAsia="方正仿宋_GBK" w:cs="Times New Roman"/>
          <w:color w:val="auto"/>
          <w:kern w:val="2"/>
          <w:sz w:val="32"/>
          <w:szCs w:val="32"/>
          <w:lang w:val="en-US" w:eastAsia="zh-CN" w:bidi="ar"/>
        </w:rPr>
        <w:t>联系电话：028-</w:t>
      </w:r>
      <w:r>
        <w:rPr>
          <w:rFonts w:hint="default" w:ascii="Times New Roman" w:hAnsi="Times New Roman" w:eastAsia="方正仿宋_GBK" w:cs="Times New Roman"/>
          <w:color w:val="auto"/>
          <w:kern w:val="2"/>
          <w:sz w:val="32"/>
          <w:szCs w:val="32"/>
          <w:lang w:val="en" w:eastAsia="zh-CN" w:bidi="ar"/>
        </w:rPr>
        <w:t>85394235</w:t>
      </w:r>
      <w:bookmarkStart w:id="0" w:name="_GoBack"/>
      <w:bookmarkEnd w:id="0"/>
    </w:p>
    <w:p>
      <w:pPr>
        <w:pStyle w:val="12"/>
        <w:widowControl/>
        <w:ind w:firstLine="620"/>
        <w:rPr>
          <w:rFonts w:hint="eastAsia" w:ascii="Times New Roman" w:hAnsi="Times New Roman" w:eastAsia="方正仿宋简体" w:cs="Times New Roman"/>
          <w:b/>
          <w:color w:val="auto"/>
          <w:kern w:val="2"/>
          <w:sz w:val="36"/>
          <w:szCs w:val="36"/>
          <w:shd w:val="clear" w:color="auto" w:fill="FFFFFF"/>
          <w:lang w:val="en-US" w:eastAsia="zh-CN" w:bidi="ar-SA"/>
        </w:rPr>
      </w:pPr>
    </w:p>
    <w:sectPr>
      <w:headerReference r:id="rId3" w:type="default"/>
      <w:footerReference r:id="rId4" w:type="default"/>
      <w:footerReference r:id="rId5" w:type="even"/>
      <w:pgSz w:w="11906" w:h="16838"/>
      <w:pgMar w:top="1440" w:right="1800" w:bottom="1440" w:left="1800" w:header="851" w:footer="158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中宋"/>
    <w:panose1 w:val="02010600030101010101"/>
    <w:charset w:val="86"/>
    <w:family w:val="auto"/>
    <w:pitch w:val="default"/>
    <w:sig w:usb0="00000000" w:usb1="00000000" w:usb2="00000016" w:usb3="00000000" w:csb0="0004000F"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宋体" w:hAnsi="宋体" w:eastAsia="宋体"/>
        <w:sz w:val="28"/>
        <w:szCs w:val="28"/>
      </w:rPr>
    </w:pP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63</w:t>
    </w:r>
    <w:r>
      <w:rPr>
        <w:rFonts w:ascii="宋体" w:hAnsi="宋体" w:eastAsia="宋体"/>
        <w:sz w:val="28"/>
        <w:szCs w:val="28"/>
      </w:rPr>
      <w:fldChar w:fldCharType="end"/>
    </w:r>
    <w:r>
      <w:rPr>
        <w:rFonts w:ascii="宋体" w:hAnsi="宋体" w:eastAsia="宋体"/>
        <w:sz w:val="28"/>
        <w:szCs w:val="28"/>
      </w:rPr>
      <w:t xml:space="preserve"> —</w:t>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宋体" w:hAnsi="宋体" w:eastAsia="宋体"/>
        <w:sz w:val="28"/>
        <w:szCs w:val="28"/>
      </w:rPr>
    </w:pP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64</w:t>
    </w:r>
    <w:r>
      <w:rPr>
        <w:rFonts w:ascii="宋体" w:hAnsi="宋体" w:eastAsia="宋体"/>
        <w:sz w:val="28"/>
        <w:szCs w:val="28"/>
      </w:rPr>
      <w:fldChar w:fldCharType="end"/>
    </w:r>
    <w:r>
      <w:rPr>
        <w:rFonts w:ascii="宋体" w:hAnsi="宋体" w:eastAsia="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tabs>
        <w:tab w:val="left" w:pos="0"/>
        <w:tab w:val="clear" w:pos="4153"/>
        <w:tab w:val="clear" w:pos="8306"/>
      </w:tabs>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8B47BBB"/>
    <w:rsid w:val="00024514"/>
    <w:rsid w:val="000B4882"/>
    <w:rsid w:val="00196ED3"/>
    <w:rsid w:val="001C46DA"/>
    <w:rsid w:val="001F5CA4"/>
    <w:rsid w:val="002B6BB6"/>
    <w:rsid w:val="002C4890"/>
    <w:rsid w:val="0030545C"/>
    <w:rsid w:val="003419E4"/>
    <w:rsid w:val="00354137"/>
    <w:rsid w:val="00416AC7"/>
    <w:rsid w:val="00423A14"/>
    <w:rsid w:val="00436960"/>
    <w:rsid w:val="00446DA0"/>
    <w:rsid w:val="004E6BD0"/>
    <w:rsid w:val="00510AC0"/>
    <w:rsid w:val="00512218"/>
    <w:rsid w:val="00623EEC"/>
    <w:rsid w:val="00636628"/>
    <w:rsid w:val="0064438D"/>
    <w:rsid w:val="00655AC7"/>
    <w:rsid w:val="006A0296"/>
    <w:rsid w:val="006D37AE"/>
    <w:rsid w:val="007001DC"/>
    <w:rsid w:val="00771020"/>
    <w:rsid w:val="007A589B"/>
    <w:rsid w:val="00827900"/>
    <w:rsid w:val="00837B83"/>
    <w:rsid w:val="0084713E"/>
    <w:rsid w:val="00891524"/>
    <w:rsid w:val="008C3989"/>
    <w:rsid w:val="008E35DD"/>
    <w:rsid w:val="008F5881"/>
    <w:rsid w:val="0092126C"/>
    <w:rsid w:val="009A6424"/>
    <w:rsid w:val="00A270AF"/>
    <w:rsid w:val="00A62A63"/>
    <w:rsid w:val="00A700EC"/>
    <w:rsid w:val="00A70A39"/>
    <w:rsid w:val="00AD6F94"/>
    <w:rsid w:val="00AE657D"/>
    <w:rsid w:val="00B37D00"/>
    <w:rsid w:val="00B40EEE"/>
    <w:rsid w:val="00B5568A"/>
    <w:rsid w:val="00C327D3"/>
    <w:rsid w:val="00C65F23"/>
    <w:rsid w:val="00CA3963"/>
    <w:rsid w:val="00CE2E38"/>
    <w:rsid w:val="00D06218"/>
    <w:rsid w:val="00D51252"/>
    <w:rsid w:val="00D572C7"/>
    <w:rsid w:val="00D74566"/>
    <w:rsid w:val="00DA05B9"/>
    <w:rsid w:val="00E346D1"/>
    <w:rsid w:val="00EB3E98"/>
    <w:rsid w:val="00ED7F09"/>
    <w:rsid w:val="00F11862"/>
    <w:rsid w:val="00FA1449"/>
    <w:rsid w:val="014E34AB"/>
    <w:rsid w:val="016B12DD"/>
    <w:rsid w:val="01C000E7"/>
    <w:rsid w:val="01CF0F9D"/>
    <w:rsid w:val="020E000C"/>
    <w:rsid w:val="025000CF"/>
    <w:rsid w:val="02C64EAF"/>
    <w:rsid w:val="03251335"/>
    <w:rsid w:val="03623E0A"/>
    <w:rsid w:val="038337AD"/>
    <w:rsid w:val="03904030"/>
    <w:rsid w:val="03D96E46"/>
    <w:rsid w:val="03F02965"/>
    <w:rsid w:val="04AC6E4D"/>
    <w:rsid w:val="04FF573E"/>
    <w:rsid w:val="0536773C"/>
    <w:rsid w:val="05DE2D89"/>
    <w:rsid w:val="0627664B"/>
    <w:rsid w:val="063E6A0A"/>
    <w:rsid w:val="06C44F8A"/>
    <w:rsid w:val="07176B7E"/>
    <w:rsid w:val="07710DF6"/>
    <w:rsid w:val="079732D4"/>
    <w:rsid w:val="0799579B"/>
    <w:rsid w:val="07B61E1D"/>
    <w:rsid w:val="08503E7F"/>
    <w:rsid w:val="085F6F58"/>
    <w:rsid w:val="08DD1082"/>
    <w:rsid w:val="095602F0"/>
    <w:rsid w:val="095A7DDC"/>
    <w:rsid w:val="09714549"/>
    <w:rsid w:val="0997352D"/>
    <w:rsid w:val="09A85C51"/>
    <w:rsid w:val="09B747AD"/>
    <w:rsid w:val="09C96651"/>
    <w:rsid w:val="0ABD3C43"/>
    <w:rsid w:val="0ABF2F9D"/>
    <w:rsid w:val="0AD25101"/>
    <w:rsid w:val="0BCD370F"/>
    <w:rsid w:val="0BD5553C"/>
    <w:rsid w:val="0BFD5722"/>
    <w:rsid w:val="0C0E2C46"/>
    <w:rsid w:val="0CA3734C"/>
    <w:rsid w:val="0D6F76C3"/>
    <w:rsid w:val="0D9F5F67"/>
    <w:rsid w:val="0DC043B8"/>
    <w:rsid w:val="0DE47CC3"/>
    <w:rsid w:val="0EA430B9"/>
    <w:rsid w:val="0F093D75"/>
    <w:rsid w:val="0F0D64E9"/>
    <w:rsid w:val="10334F87"/>
    <w:rsid w:val="105F139F"/>
    <w:rsid w:val="106A6B62"/>
    <w:rsid w:val="10F25629"/>
    <w:rsid w:val="110C4612"/>
    <w:rsid w:val="113C4E52"/>
    <w:rsid w:val="116D60B6"/>
    <w:rsid w:val="11EC4AAA"/>
    <w:rsid w:val="12205BA0"/>
    <w:rsid w:val="125A3968"/>
    <w:rsid w:val="127B04AF"/>
    <w:rsid w:val="128D1872"/>
    <w:rsid w:val="13043578"/>
    <w:rsid w:val="135D2749"/>
    <w:rsid w:val="136F72ED"/>
    <w:rsid w:val="13E32BCA"/>
    <w:rsid w:val="14333CC1"/>
    <w:rsid w:val="146B63E0"/>
    <w:rsid w:val="14E200D3"/>
    <w:rsid w:val="15046E7B"/>
    <w:rsid w:val="15B32D7F"/>
    <w:rsid w:val="15B45FFC"/>
    <w:rsid w:val="160658E5"/>
    <w:rsid w:val="165B0918"/>
    <w:rsid w:val="16E85CE9"/>
    <w:rsid w:val="17CC4281"/>
    <w:rsid w:val="17E109F5"/>
    <w:rsid w:val="17E7664A"/>
    <w:rsid w:val="18EE4100"/>
    <w:rsid w:val="199C4ED5"/>
    <w:rsid w:val="19D14F66"/>
    <w:rsid w:val="1AE75D87"/>
    <w:rsid w:val="1AF8374F"/>
    <w:rsid w:val="1BDD12D8"/>
    <w:rsid w:val="1C706ADC"/>
    <w:rsid w:val="1C982782"/>
    <w:rsid w:val="1D2F1E07"/>
    <w:rsid w:val="1DD57419"/>
    <w:rsid w:val="1E012138"/>
    <w:rsid w:val="1E08716C"/>
    <w:rsid w:val="1E282401"/>
    <w:rsid w:val="1F5062B9"/>
    <w:rsid w:val="1F915A17"/>
    <w:rsid w:val="1F9F79E8"/>
    <w:rsid w:val="1FB704A4"/>
    <w:rsid w:val="1FFF3729"/>
    <w:rsid w:val="200245D5"/>
    <w:rsid w:val="20CB0051"/>
    <w:rsid w:val="211A6E80"/>
    <w:rsid w:val="211C3B0F"/>
    <w:rsid w:val="212860DE"/>
    <w:rsid w:val="21356498"/>
    <w:rsid w:val="215E11FD"/>
    <w:rsid w:val="227E24FA"/>
    <w:rsid w:val="23190A27"/>
    <w:rsid w:val="23CD31DE"/>
    <w:rsid w:val="25057E1F"/>
    <w:rsid w:val="253F7258"/>
    <w:rsid w:val="254033D2"/>
    <w:rsid w:val="25992219"/>
    <w:rsid w:val="259E66FF"/>
    <w:rsid w:val="25A5176E"/>
    <w:rsid w:val="262E76EB"/>
    <w:rsid w:val="26896754"/>
    <w:rsid w:val="26CA6577"/>
    <w:rsid w:val="279449B7"/>
    <w:rsid w:val="28160314"/>
    <w:rsid w:val="282B2CB4"/>
    <w:rsid w:val="28751FFC"/>
    <w:rsid w:val="2877720D"/>
    <w:rsid w:val="288D50EC"/>
    <w:rsid w:val="28D56335"/>
    <w:rsid w:val="28E37FB1"/>
    <w:rsid w:val="29087E8D"/>
    <w:rsid w:val="299B5E0B"/>
    <w:rsid w:val="29E64054"/>
    <w:rsid w:val="29FFF468"/>
    <w:rsid w:val="2A540EB3"/>
    <w:rsid w:val="2A5655F8"/>
    <w:rsid w:val="2AA311F5"/>
    <w:rsid w:val="2ABC7CCC"/>
    <w:rsid w:val="2AF3078A"/>
    <w:rsid w:val="2BA05873"/>
    <w:rsid w:val="2C2A1AAA"/>
    <w:rsid w:val="2CDB2745"/>
    <w:rsid w:val="2D1B1B6E"/>
    <w:rsid w:val="2D214164"/>
    <w:rsid w:val="2D63201F"/>
    <w:rsid w:val="2D711C5E"/>
    <w:rsid w:val="2D81475B"/>
    <w:rsid w:val="2DD654ED"/>
    <w:rsid w:val="2DE10C6A"/>
    <w:rsid w:val="2E77503C"/>
    <w:rsid w:val="2FEE5111"/>
    <w:rsid w:val="31B748A8"/>
    <w:rsid w:val="327A3142"/>
    <w:rsid w:val="33202115"/>
    <w:rsid w:val="333E3F7F"/>
    <w:rsid w:val="348E0AA1"/>
    <w:rsid w:val="34E2749E"/>
    <w:rsid w:val="359A5B32"/>
    <w:rsid w:val="35BC26CB"/>
    <w:rsid w:val="360A574F"/>
    <w:rsid w:val="36363197"/>
    <w:rsid w:val="36931DE9"/>
    <w:rsid w:val="36A01B97"/>
    <w:rsid w:val="36E567EC"/>
    <w:rsid w:val="36F87FFB"/>
    <w:rsid w:val="37EC11EB"/>
    <w:rsid w:val="37EEE3A0"/>
    <w:rsid w:val="38D11BFF"/>
    <w:rsid w:val="392D6B25"/>
    <w:rsid w:val="3A5E496D"/>
    <w:rsid w:val="3AA86092"/>
    <w:rsid w:val="3AAA0D25"/>
    <w:rsid w:val="3ACB0218"/>
    <w:rsid w:val="3B8130BA"/>
    <w:rsid w:val="3BDF1313"/>
    <w:rsid w:val="3C10082D"/>
    <w:rsid w:val="3C1F4AB7"/>
    <w:rsid w:val="3C44612C"/>
    <w:rsid w:val="3CA93DAD"/>
    <w:rsid w:val="3D0E0002"/>
    <w:rsid w:val="3D370559"/>
    <w:rsid w:val="3D767DE0"/>
    <w:rsid w:val="3D826D12"/>
    <w:rsid w:val="3D8C73E3"/>
    <w:rsid w:val="3E1F5BDC"/>
    <w:rsid w:val="3E817DA9"/>
    <w:rsid w:val="3ED944FA"/>
    <w:rsid w:val="3EFD4385"/>
    <w:rsid w:val="3F332868"/>
    <w:rsid w:val="3F95069A"/>
    <w:rsid w:val="3FABCD8F"/>
    <w:rsid w:val="3FDFBA40"/>
    <w:rsid w:val="3FFFA28D"/>
    <w:rsid w:val="40246B67"/>
    <w:rsid w:val="40965F7B"/>
    <w:rsid w:val="40BD30E2"/>
    <w:rsid w:val="40E457D6"/>
    <w:rsid w:val="40E61372"/>
    <w:rsid w:val="410A3B4E"/>
    <w:rsid w:val="410D705D"/>
    <w:rsid w:val="41193DB0"/>
    <w:rsid w:val="417676DE"/>
    <w:rsid w:val="41877020"/>
    <w:rsid w:val="41921FAD"/>
    <w:rsid w:val="419233C8"/>
    <w:rsid w:val="41A479C5"/>
    <w:rsid w:val="41D51952"/>
    <w:rsid w:val="41FF15EB"/>
    <w:rsid w:val="423571B1"/>
    <w:rsid w:val="423F3D30"/>
    <w:rsid w:val="428306AB"/>
    <w:rsid w:val="42AE3861"/>
    <w:rsid w:val="42CF3566"/>
    <w:rsid w:val="42E22853"/>
    <w:rsid w:val="436168E9"/>
    <w:rsid w:val="43A765CD"/>
    <w:rsid w:val="448D3C21"/>
    <w:rsid w:val="44E52931"/>
    <w:rsid w:val="451328B8"/>
    <w:rsid w:val="457257E3"/>
    <w:rsid w:val="45AE5BE8"/>
    <w:rsid w:val="45C77BC0"/>
    <w:rsid w:val="464A27F3"/>
    <w:rsid w:val="46C237B1"/>
    <w:rsid w:val="46FC7EC7"/>
    <w:rsid w:val="47346BB9"/>
    <w:rsid w:val="478119FB"/>
    <w:rsid w:val="47E55F4B"/>
    <w:rsid w:val="48A805EF"/>
    <w:rsid w:val="48FC0C0A"/>
    <w:rsid w:val="494809EA"/>
    <w:rsid w:val="49BC2269"/>
    <w:rsid w:val="4A3D240D"/>
    <w:rsid w:val="4A4C3268"/>
    <w:rsid w:val="4A7E7E21"/>
    <w:rsid w:val="4A9D3D09"/>
    <w:rsid w:val="4B1C0473"/>
    <w:rsid w:val="4B3C4191"/>
    <w:rsid w:val="4BB23094"/>
    <w:rsid w:val="4C0474C7"/>
    <w:rsid w:val="4C4B7396"/>
    <w:rsid w:val="4C584172"/>
    <w:rsid w:val="4C746370"/>
    <w:rsid w:val="4D0C1AAB"/>
    <w:rsid w:val="4D287702"/>
    <w:rsid w:val="4DF460AF"/>
    <w:rsid w:val="4E634132"/>
    <w:rsid w:val="4E8575A8"/>
    <w:rsid w:val="4EB40807"/>
    <w:rsid w:val="4EC17951"/>
    <w:rsid w:val="4ECB4E15"/>
    <w:rsid w:val="4EDA2363"/>
    <w:rsid w:val="4EE76FCC"/>
    <w:rsid w:val="4F9BA389"/>
    <w:rsid w:val="4FD54233"/>
    <w:rsid w:val="4FED7E10"/>
    <w:rsid w:val="4FF65B4A"/>
    <w:rsid w:val="50AC3CA8"/>
    <w:rsid w:val="51282CA7"/>
    <w:rsid w:val="51A80707"/>
    <w:rsid w:val="51AB6CA0"/>
    <w:rsid w:val="52E90B34"/>
    <w:rsid w:val="53204D12"/>
    <w:rsid w:val="53C12792"/>
    <w:rsid w:val="540C37DD"/>
    <w:rsid w:val="54136ED3"/>
    <w:rsid w:val="541A0CF9"/>
    <w:rsid w:val="55D40994"/>
    <w:rsid w:val="561E24DD"/>
    <w:rsid w:val="568A25A9"/>
    <w:rsid w:val="57D80B87"/>
    <w:rsid w:val="58155983"/>
    <w:rsid w:val="58C20A25"/>
    <w:rsid w:val="59DF1A78"/>
    <w:rsid w:val="5A6F1CBF"/>
    <w:rsid w:val="5B245749"/>
    <w:rsid w:val="5B3022D9"/>
    <w:rsid w:val="5BE96D35"/>
    <w:rsid w:val="5BF67029"/>
    <w:rsid w:val="5C1A4605"/>
    <w:rsid w:val="5C6246AF"/>
    <w:rsid w:val="5C966819"/>
    <w:rsid w:val="5CA64797"/>
    <w:rsid w:val="5D415FE5"/>
    <w:rsid w:val="5D627D98"/>
    <w:rsid w:val="5D9E3BC7"/>
    <w:rsid w:val="5E22502F"/>
    <w:rsid w:val="5E60195E"/>
    <w:rsid w:val="5EA409EA"/>
    <w:rsid w:val="5F3538AB"/>
    <w:rsid w:val="5F56292E"/>
    <w:rsid w:val="5FB278C5"/>
    <w:rsid w:val="602B06AC"/>
    <w:rsid w:val="605602F3"/>
    <w:rsid w:val="60D8222A"/>
    <w:rsid w:val="610D3AF8"/>
    <w:rsid w:val="61C05B96"/>
    <w:rsid w:val="61F10CFA"/>
    <w:rsid w:val="61FF09C5"/>
    <w:rsid w:val="64A1501E"/>
    <w:rsid w:val="64BA302E"/>
    <w:rsid w:val="64D33EA0"/>
    <w:rsid w:val="64FA5FB2"/>
    <w:rsid w:val="65AA2CEA"/>
    <w:rsid w:val="65C174A8"/>
    <w:rsid w:val="66E51D75"/>
    <w:rsid w:val="67457BFD"/>
    <w:rsid w:val="676E14A1"/>
    <w:rsid w:val="676E5697"/>
    <w:rsid w:val="67FBF259"/>
    <w:rsid w:val="682E5386"/>
    <w:rsid w:val="692B7A51"/>
    <w:rsid w:val="6968600A"/>
    <w:rsid w:val="699377DB"/>
    <w:rsid w:val="69C324E7"/>
    <w:rsid w:val="6A3D11CF"/>
    <w:rsid w:val="6A5164B5"/>
    <w:rsid w:val="6A936576"/>
    <w:rsid w:val="6AD277FE"/>
    <w:rsid w:val="6B1D6705"/>
    <w:rsid w:val="6B942A25"/>
    <w:rsid w:val="6BDA8CD4"/>
    <w:rsid w:val="6BEC1408"/>
    <w:rsid w:val="6C530909"/>
    <w:rsid w:val="6CA71D21"/>
    <w:rsid w:val="6CB25FB6"/>
    <w:rsid w:val="6CB77A39"/>
    <w:rsid w:val="6CE83049"/>
    <w:rsid w:val="6D3C6638"/>
    <w:rsid w:val="6D5C2748"/>
    <w:rsid w:val="6DFF7376"/>
    <w:rsid w:val="6E03465E"/>
    <w:rsid w:val="6E2DACD4"/>
    <w:rsid w:val="6E4D7D1B"/>
    <w:rsid w:val="6E681DCB"/>
    <w:rsid w:val="6EA839C9"/>
    <w:rsid w:val="6EE476C8"/>
    <w:rsid w:val="6EE54B2B"/>
    <w:rsid w:val="6F020904"/>
    <w:rsid w:val="6F526F13"/>
    <w:rsid w:val="6F566CBD"/>
    <w:rsid w:val="6F5E4639"/>
    <w:rsid w:val="6F6132ED"/>
    <w:rsid w:val="6FC8482C"/>
    <w:rsid w:val="6FE7D175"/>
    <w:rsid w:val="6FFD20EA"/>
    <w:rsid w:val="706826F8"/>
    <w:rsid w:val="706856EE"/>
    <w:rsid w:val="708741CD"/>
    <w:rsid w:val="70D244CD"/>
    <w:rsid w:val="70D916F0"/>
    <w:rsid w:val="713F6E71"/>
    <w:rsid w:val="718959D5"/>
    <w:rsid w:val="71AA3E87"/>
    <w:rsid w:val="71C71362"/>
    <w:rsid w:val="720878F1"/>
    <w:rsid w:val="72571F34"/>
    <w:rsid w:val="72972858"/>
    <w:rsid w:val="737F2888"/>
    <w:rsid w:val="73C24C70"/>
    <w:rsid w:val="7468263F"/>
    <w:rsid w:val="749F6A4E"/>
    <w:rsid w:val="750B33AB"/>
    <w:rsid w:val="75896AF2"/>
    <w:rsid w:val="75EC02E1"/>
    <w:rsid w:val="75F316F9"/>
    <w:rsid w:val="75FC6C62"/>
    <w:rsid w:val="7619085B"/>
    <w:rsid w:val="765B560A"/>
    <w:rsid w:val="77285345"/>
    <w:rsid w:val="772C3F6D"/>
    <w:rsid w:val="775A66DA"/>
    <w:rsid w:val="777E1045"/>
    <w:rsid w:val="777E63A6"/>
    <w:rsid w:val="77FF839B"/>
    <w:rsid w:val="78B47BBB"/>
    <w:rsid w:val="78E83DEE"/>
    <w:rsid w:val="792E7BB7"/>
    <w:rsid w:val="796860E6"/>
    <w:rsid w:val="79DE5A63"/>
    <w:rsid w:val="7A576282"/>
    <w:rsid w:val="7A7B4ED7"/>
    <w:rsid w:val="7AEC5D2A"/>
    <w:rsid w:val="7B64408E"/>
    <w:rsid w:val="7B95EB45"/>
    <w:rsid w:val="7BDF63B4"/>
    <w:rsid w:val="7BFF493A"/>
    <w:rsid w:val="7C2A7ECC"/>
    <w:rsid w:val="7C6142FE"/>
    <w:rsid w:val="7C77B4D4"/>
    <w:rsid w:val="7C83079A"/>
    <w:rsid w:val="7D5DC9DA"/>
    <w:rsid w:val="7D5F5703"/>
    <w:rsid w:val="7DDB1F0C"/>
    <w:rsid w:val="7DDD6C5C"/>
    <w:rsid w:val="7DEC9B30"/>
    <w:rsid w:val="7DEE39A2"/>
    <w:rsid w:val="7DF00FA7"/>
    <w:rsid w:val="7DF311DB"/>
    <w:rsid w:val="7E4503B6"/>
    <w:rsid w:val="7E76D7DF"/>
    <w:rsid w:val="7EFF2086"/>
    <w:rsid w:val="7F186373"/>
    <w:rsid w:val="7F4D1974"/>
    <w:rsid w:val="7F832BA1"/>
    <w:rsid w:val="7FCB15FC"/>
    <w:rsid w:val="7FF39B07"/>
    <w:rsid w:val="7FFB04F3"/>
    <w:rsid w:val="7FFB8C31"/>
    <w:rsid w:val="7FFF4DB3"/>
    <w:rsid w:val="8F7BD2FE"/>
    <w:rsid w:val="9FC4755A"/>
    <w:rsid w:val="9FD924E3"/>
    <w:rsid w:val="ABBA0C75"/>
    <w:rsid w:val="AFBD0EE9"/>
    <w:rsid w:val="B6F3AE59"/>
    <w:rsid w:val="BD5D653A"/>
    <w:rsid w:val="BF970534"/>
    <w:rsid w:val="BFEDC803"/>
    <w:rsid w:val="C6BFA0CB"/>
    <w:rsid w:val="DBDADF8A"/>
    <w:rsid w:val="DC9F37C8"/>
    <w:rsid w:val="DCBE6CD1"/>
    <w:rsid w:val="DF5F2F5E"/>
    <w:rsid w:val="DFFBE90B"/>
    <w:rsid w:val="E5CFA568"/>
    <w:rsid w:val="E6A72D4B"/>
    <w:rsid w:val="E9E365CA"/>
    <w:rsid w:val="EAA7D7F6"/>
    <w:rsid w:val="EB2F39F3"/>
    <w:rsid w:val="ED77C831"/>
    <w:rsid w:val="EDE331FA"/>
    <w:rsid w:val="EE2F3E30"/>
    <w:rsid w:val="EFFF23E5"/>
    <w:rsid w:val="F2F697F8"/>
    <w:rsid w:val="F3F585EB"/>
    <w:rsid w:val="F6DF6797"/>
    <w:rsid w:val="F7BF84F5"/>
    <w:rsid w:val="F9BFCC03"/>
    <w:rsid w:val="FB77FC90"/>
    <w:rsid w:val="FBFB22B1"/>
    <w:rsid w:val="FC355B9C"/>
    <w:rsid w:val="FC8E7E41"/>
    <w:rsid w:val="FCDEFC4B"/>
    <w:rsid w:val="FCF711E3"/>
    <w:rsid w:val="FCFFF50B"/>
    <w:rsid w:val="FDFD406D"/>
    <w:rsid w:val="FEAF3CC9"/>
    <w:rsid w:val="FF6A478A"/>
    <w:rsid w:val="FF7F5469"/>
    <w:rsid w:val="FF969264"/>
    <w:rsid w:val="FF9B48C3"/>
    <w:rsid w:val="FFA5972F"/>
    <w:rsid w:val="FFBB04EF"/>
    <w:rsid w:val="FFCF84CF"/>
    <w:rsid w:val="FFE7922B"/>
    <w:rsid w:val="FFEB7759"/>
    <w:rsid w:val="FFF99A2C"/>
    <w:rsid w:val="FFFF3FF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iPriority="0" w:name="Body Text Indent 2"/>
    <w:lsdException w:uiPriority="0" w:name="Body Text Indent 3"/>
    <w:lsdException w:uiPriority="0" w:name="Block Text"/>
    <w:lsdException w:qFormat="1"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等线"/>
      <w:kern w:val="2"/>
      <w:sz w:val="21"/>
      <w:szCs w:val="21"/>
      <w:lang w:val="en-US" w:eastAsia="zh-CN" w:bidi="ar-SA"/>
    </w:rPr>
  </w:style>
  <w:style w:type="paragraph" w:styleId="3">
    <w:name w:val="heading 1"/>
    <w:basedOn w:val="1"/>
    <w:next w:val="1"/>
    <w:qFormat/>
    <w:uiPriority w:val="9"/>
    <w:pPr>
      <w:keepNext/>
      <w:keepLines/>
      <w:tabs>
        <w:tab w:val="left" w:pos="0"/>
      </w:tabs>
      <w:outlineLvl w:val="0"/>
    </w:pPr>
    <w:rPr>
      <w:b/>
      <w:kern w:val="44"/>
      <w:sz w:val="44"/>
    </w:rPr>
  </w:style>
  <w:style w:type="paragraph" w:styleId="4">
    <w:name w:val="heading 2"/>
    <w:basedOn w:val="1"/>
    <w:next w:val="1"/>
    <w:unhideWhenUsed/>
    <w:qFormat/>
    <w:uiPriority w:val="9"/>
    <w:pPr>
      <w:keepNext/>
      <w:keepLines/>
      <w:tabs>
        <w:tab w:val="left" w:pos="0"/>
      </w:tabs>
      <w:spacing w:line="500" w:lineRule="exact"/>
      <w:outlineLvl w:val="1"/>
    </w:pPr>
    <w:rPr>
      <w:rFonts w:ascii="Arial" w:hAnsi="Arial" w:eastAsia="黑体"/>
      <w:b/>
      <w:sz w:val="28"/>
    </w:rPr>
  </w:style>
  <w:style w:type="character" w:default="1" w:styleId="15">
    <w:name w:val="Default Paragraph Font"/>
    <w:semiHidden/>
    <w:unhideWhenUsed/>
    <w:qFormat/>
    <w:uiPriority w:val="1"/>
  </w:style>
  <w:style w:type="table" w:default="1" w:styleId="13">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Body Text Indent 2"/>
    <w:basedOn w:val="1"/>
    <w:link w:val="23"/>
    <w:semiHidden/>
    <w:unhideWhenUsed/>
    <w:qFormat/>
    <w:uiPriority w:val="0"/>
    <w:pPr>
      <w:spacing w:after="120" w:line="480" w:lineRule="auto"/>
      <w:ind w:left="420" w:leftChars="200"/>
    </w:pPr>
  </w:style>
  <w:style w:type="paragraph" w:styleId="5">
    <w:name w:val="Body Text"/>
    <w:basedOn w:val="1"/>
    <w:next w:val="1"/>
    <w:link w:val="22"/>
    <w:semiHidden/>
    <w:unhideWhenUsed/>
    <w:qFormat/>
    <w:uiPriority w:val="0"/>
    <w:pPr>
      <w:spacing w:after="120"/>
    </w:pPr>
  </w:style>
  <w:style w:type="paragraph" w:styleId="6">
    <w:name w:val="Balloon Text"/>
    <w:basedOn w:val="1"/>
    <w:link w:val="20"/>
    <w:semiHidden/>
    <w:unhideWhenUsed/>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qFormat/>
    <w:uiPriority w:val="39"/>
    <w:pPr>
      <w:spacing w:before="120" w:after="120"/>
    </w:pPr>
    <w:rPr>
      <w:rFonts w:asciiTheme="minorHAnsi" w:hAnsiTheme="minorHAnsi" w:cstheme="minorHAnsi"/>
      <w:b/>
      <w:bCs/>
      <w:caps/>
      <w:sz w:val="20"/>
      <w:szCs w:val="20"/>
    </w:rPr>
  </w:style>
  <w:style w:type="paragraph" w:styleId="10">
    <w:name w:val="toc 2"/>
    <w:basedOn w:val="1"/>
    <w:next w:val="1"/>
    <w:qFormat/>
    <w:uiPriority w:val="39"/>
    <w:pPr>
      <w:ind w:left="240"/>
    </w:pPr>
    <w:rPr>
      <w:rFonts w:asciiTheme="minorHAnsi" w:hAnsiTheme="minorHAnsi" w:cstheme="minorHAnsi"/>
      <w:smallCaps/>
      <w:sz w:val="20"/>
      <w:szCs w:val="20"/>
    </w:rPr>
  </w:style>
  <w:style w:type="paragraph" w:styleId="11">
    <w:name w:val="HTML Preformatted"/>
    <w:basedOn w:val="1"/>
    <w:semiHidden/>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2">
    <w:name w:val="Normal (Web)"/>
    <w:basedOn w:val="1"/>
    <w:semiHidden/>
    <w:unhideWhenUsed/>
    <w:qFormat/>
    <w:uiPriority w:val="0"/>
    <w:rPr>
      <w:sz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rPr>
  </w:style>
  <w:style w:type="character" w:styleId="17">
    <w:name w:val="Emphasis"/>
    <w:basedOn w:val="15"/>
    <w:qFormat/>
    <w:uiPriority w:val="0"/>
    <w:rPr>
      <w:i/>
    </w:rPr>
  </w:style>
  <w:style w:type="character" w:styleId="18">
    <w:name w:val="Hyperlink"/>
    <w:basedOn w:val="15"/>
    <w:semiHidden/>
    <w:unhideWhenUsed/>
    <w:qFormat/>
    <w:uiPriority w:val="0"/>
    <w:rPr>
      <w:color w:val="0000FF"/>
      <w:u w:val="single"/>
    </w:rPr>
  </w:style>
  <w:style w:type="paragraph" w:customStyle="1" w:styleId="19">
    <w:name w:val="UserStyle_0"/>
    <w:qFormat/>
    <w:uiPriority w:val="0"/>
    <w:rPr>
      <w:rFonts w:ascii="宋体" w:hAnsi="Times New Roman" w:eastAsia="宋体" w:cs="宋体"/>
      <w:color w:val="000000"/>
      <w:sz w:val="24"/>
      <w:szCs w:val="24"/>
      <w:lang w:val="en-US" w:eastAsia="zh-CN" w:bidi="ar-SA"/>
    </w:rPr>
  </w:style>
  <w:style w:type="character" w:customStyle="1" w:styleId="20">
    <w:name w:val="批注框文本 字符"/>
    <w:basedOn w:val="15"/>
    <w:link w:val="6"/>
    <w:semiHidden/>
    <w:qFormat/>
    <w:uiPriority w:val="0"/>
    <w:rPr>
      <w:rFonts w:ascii="等线" w:hAnsi="等线" w:eastAsia="等线" w:cs="等线"/>
      <w:kern w:val="2"/>
      <w:sz w:val="18"/>
      <w:szCs w:val="18"/>
    </w:rPr>
  </w:style>
  <w:style w:type="paragraph" w:styleId="21">
    <w:name w:val="List Paragraph"/>
    <w:basedOn w:val="1"/>
    <w:unhideWhenUsed/>
    <w:qFormat/>
    <w:uiPriority w:val="99"/>
    <w:pPr>
      <w:ind w:firstLine="420" w:firstLineChars="200"/>
    </w:pPr>
  </w:style>
  <w:style w:type="character" w:customStyle="1" w:styleId="22">
    <w:name w:val="正文文本 字符"/>
    <w:basedOn w:val="15"/>
    <w:link w:val="5"/>
    <w:qFormat/>
    <w:uiPriority w:val="0"/>
    <w:rPr>
      <w:rFonts w:hint="eastAsia" w:ascii="宋体" w:hAnsi="宋体" w:eastAsia="宋体" w:cs="Arial"/>
      <w:kern w:val="2"/>
      <w:sz w:val="24"/>
      <w:szCs w:val="24"/>
    </w:rPr>
  </w:style>
  <w:style w:type="character" w:customStyle="1" w:styleId="23">
    <w:name w:val="正文文本缩进 2 字符"/>
    <w:basedOn w:val="15"/>
    <w:link w:val="2"/>
    <w:qFormat/>
    <w:uiPriority w:val="0"/>
    <w:rPr>
      <w:rFonts w:hint="eastAsia" w:ascii="宋体" w:hAnsi="宋体" w:eastAsia="宋体" w:cs="Arial"/>
      <w:kern w:val="2"/>
      <w:sz w:val="24"/>
      <w:szCs w:val="24"/>
    </w:rPr>
  </w:style>
  <w:style w:type="paragraph" w:customStyle="1" w:styleId="24">
    <w:name w:val="02、首行缩进2字符正文"/>
    <w:basedOn w:val="1"/>
    <w:qFormat/>
    <w:uiPriority w:val="0"/>
    <w:pPr>
      <w:tabs>
        <w:tab w:val="left" w:pos="0"/>
      </w:tabs>
      <w:wordWrap w:val="0"/>
      <w:topLinePunct/>
      <w:ind w:firstLine="480" w:firstLineChars="200"/>
    </w:pPr>
  </w:style>
  <w:style w:type="paragraph" w:customStyle="1" w:styleId="25">
    <w:name w:val="01、普通正文"/>
    <w:basedOn w:val="1"/>
    <w:qFormat/>
    <w:uiPriority w:val="0"/>
    <w:pPr>
      <w:tabs>
        <w:tab w:val="left" w:pos="0"/>
      </w:tabs>
      <w:wordWrap w:val="0"/>
      <w:topLinePunct/>
    </w:pPr>
    <w:rPr>
      <w:snapToGrid w:val="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64</Pages>
  <Words>5077</Words>
  <Characters>28945</Characters>
  <Lines>241</Lines>
  <Paragraphs>67</Paragraphs>
  <TotalTime>2</TotalTime>
  <ScaleCrop>false</ScaleCrop>
  <LinksUpToDate>false</LinksUpToDate>
  <CharactersWithSpaces>33955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2021-07-25T17:54:00Z</dcterms:created>
  <dc:creator>谭宇</dc:creator>
  <cp:lastModifiedBy>uos</cp:lastModifiedBy>
  <cp:lastPrinted>2021-11-18T01:45:00Z</cp:lastPrinted>
  <dcterms:modified xsi:type="dcterms:W3CDTF">2022-01-11T15:43:05Z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KSOSaveFontToCloudKey">
    <vt:lpwstr>304506842_cloud</vt:lpwstr>
  </property>
  <property fmtid="{D5CDD505-2E9C-101B-9397-08002B2CF9AE}" pid="4" name="ICV">
    <vt:lpwstr>648BC35A8F4D4315B3A15BD21C64DB30</vt:lpwstr>
  </property>
</Properties>
</file>